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2E" w:rsidRDefault="004A7D2E" w:rsidP="004A7D2E"/>
    <w:tbl>
      <w:tblPr>
        <w:tblStyle w:val="TableGrid"/>
        <w:tblW w:w="0" w:type="auto"/>
        <w:tblLook w:val="04A0" w:firstRow="1" w:lastRow="0" w:firstColumn="1" w:lastColumn="0" w:noHBand="0" w:noVBand="1"/>
      </w:tblPr>
      <w:tblGrid>
        <w:gridCol w:w="1255"/>
        <w:gridCol w:w="1170"/>
        <w:gridCol w:w="450"/>
        <w:gridCol w:w="3240"/>
        <w:gridCol w:w="6835"/>
      </w:tblGrid>
      <w:tr w:rsidR="004A7D2E" w:rsidRPr="004122A1" w:rsidTr="00D56B77">
        <w:trPr>
          <w:trHeight w:val="300"/>
        </w:trPr>
        <w:tc>
          <w:tcPr>
            <w:tcW w:w="2425" w:type="dxa"/>
            <w:gridSpan w:val="2"/>
            <w:noWrap/>
            <w:hideMark/>
          </w:tcPr>
          <w:p w:rsidR="004A7D2E" w:rsidRPr="004122A1" w:rsidRDefault="004A7D2E" w:rsidP="00D56B77">
            <w:pPr>
              <w:rPr>
                <w:color w:val="7030A0"/>
              </w:rPr>
            </w:pPr>
            <w:r w:rsidRPr="004122A1">
              <w:rPr>
                <w:color w:val="7030A0"/>
              </w:rPr>
              <w:t>2015 GBOS Resolutions</w:t>
            </w:r>
          </w:p>
        </w:tc>
        <w:tc>
          <w:tcPr>
            <w:tcW w:w="450" w:type="dxa"/>
            <w:noWrap/>
            <w:hideMark/>
          </w:tcPr>
          <w:p w:rsidR="004A7D2E" w:rsidRPr="004122A1" w:rsidRDefault="004A7D2E" w:rsidP="00D56B77">
            <w:pPr>
              <w:rPr>
                <w:color w:val="7030A0"/>
              </w:rPr>
            </w:pPr>
            <w:r w:rsidRPr="004122A1">
              <w:rPr>
                <w:color w:val="7030A0"/>
              </w:rPr>
              <w:t> </w:t>
            </w:r>
          </w:p>
        </w:tc>
        <w:tc>
          <w:tcPr>
            <w:tcW w:w="3240" w:type="dxa"/>
            <w:hideMark/>
          </w:tcPr>
          <w:p w:rsidR="004A7D2E" w:rsidRPr="004122A1" w:rsidRDefault="004A7D2E" w:rsidP="00D56B77">
            <w:pPr>
              <w:rPr>
                <w:color w:val="7030A0"/>
              </w:rPr>
            </w:pPr>
            <w:r w:rsidRPr="004122A1">
              <w:rPr>
                <w:color w:val="7030A0"/>
              </w:rPr>
              <w:t> </w:t>
            </w:r>
          </w:p>
        </w:tc>
        <w:tc>
          <w:tcPr>
            <w:tcW w:w="6835" w:type="dxa"/>
            <w:hideMark/>
          </w:tcPr>
          <w:p w:rsidR="004A7D2E" w:rsidRPr="004122A1" w:rsidRDefault="004A7D2E" w:rsidP="00D56B77">
            <w:pPr>
              <w:rPr>
                <w:color w:val="7030A0"/>
              </w:rPr>
            </w:pPr>
            <w:r w:rsidRPr="004122A1">
              <w:rPr>
                <w:color w:val="7030A0"/>
              </w:rPr>
              <w:t> </w:t>
            </w:r>
          </w:p>
        </w:tc>
      </w:tr>
      <w:tr w:rsidR="004A7D2E" w:rsidRPr="004122A1" w:rsidTr="00D56B77">
        <w:trPr>
          <w:trHeight w:val="300"/>
        </w:trPr>
        <w:tc>
          <w:tcPr>
            <w:tcW w:w="1255" w:type="dxa"/>
            <w:noWrap/>
            <w:hideMark/>
          </w:tcPr>
          <w:p w:rsidR="004A7D2E" w:rsidRPr="004122A1" w:rsidRDefault="004A7D2E" w:rsidP="00D56B77">
            <w:pPr>
              <w:rPr>
                <w:color w:val="7030A0"/>
              </w:rPr>
            </w:pPr>
            <w:r w:rsidRPr="004122A1">
              <w:rPr>
                <w:color w:val="7030A0"/>
              </w:rPr>
              <w:t>Res #</w:t>
            </w:r>
          </w:p>
        </w:tc>
        <w:tc>
          <w:tcPr>
            <w:tcW w:w="1620" w:type="dxa"/>
            <w:gridSpan w:val="2"/>
            <w:noWrap/>
            <w:hideMark/>
          </w:tcPr>
          <w:p w:rsidR="004A7D2E" w:rsidRPr="004122A1" w:rsidRDefault="004A7D2E" w:rsidP="00D56B77">
            <w:pPr>
              <w:rPr>
                <w:color w:val="7030A0"/>
              </w:rPr>
            </w:pPr>
            <w:r w:rsidRPr="004122A1">
              <w:rPr>
                <w:color w:val="7030A0"/>
              </w:rPr>
              <w:t>Date</w:t>
            </w:r>
          </w:p>
        </w:tc>
        <w:tc>
          <w:tcPr>
            <w:tcW w:w="3240" w:type="dxa"/>
            <w:hideMark/>
          </w:tcPr>
          <w:p w:rsidR="004A7D2E" w:rsidRPr="004122A1" w:rsidRDefault="004A7D2E" w:rsidP="00D56B77">
            <w:pPr>
              <w:rPr>
                <w:color w:val="7030A0"/>
              </w:rPr>
            </w:pPr>
            <w:r w:rsidRPr="004122A1">
              <w:rPr>
                <w:color w:val="7030A0"/>
              </w:rPr>
              <w:t>Title</w:t>
            </w:r>
          </w:p>
        </w:tc>
        <w:tc>
          <w:tcPr>
            <w:tcW w:w="6835" w:type="dxa"/>
            <w:hideMark/>
          </w:tcPr>
          <w:p w:rsidR="004A7D2E" w:rsidRPr="004122A1" w:rsidRDefault="004A7D2E" w:rsidP="00D56B77">
            <w:pPr>
              <w:rPr>
                <w:color w:val="7030A0"/>
              </w:rPr>
            </w:pPr>
            <w:r w:rsidRPr="004122A1">
              <w:rPr>
                <w:color w:val="7030A0"/>
              </w:rPr>
              <w:t>Description</w:t>
            </w:r>
          </w:p>
        </w:tc>
      </w:tr>
      <w:tr w:rsidR="004A7D2E" w:rsidRPr="004122A1" w:rsidTr="00D56B77">
        <w:trPr>
          <w:trHeight w:val="600"/>
        </w:trPr>
        <w:tc>
          <w:tcPr>
            <w:tcW w:w="1255" w:type="dxa"/>
            <w:noWrap/>
            <w:hideMark/>
          </w:tcPr>
          <w:p w:rsidR="004A7D2E" w:rsidRPr="004122A1" w:rsidRDefault="004A7D2E" w:rsidP="00D56B77">
            <w:r w:rsidRPr="004122A1">
              <w:t>2015-01</w:t>
            </w:r>
          </w:p>
        </w:tc>
        <w:tc>
          <w:tcPr>
            <w:tcW w:w="1620" w:type="dxa"/>
            <w:gridSpan w:val="2"/>
            <w:noWrap/>
            <w:hideMark/>
          </w:tcPr>
          <w:p w:rsidR="004A7D2E" w:rsidRPr="004122A1" w:rsidRDefault="004A7D2E" w:rsidP="00D56B77">
            <w:r w:rsidRPr="004122A1">
              <w:t>2/16/2015</w:t>
            </w:r>
          </w:p>
        </w:tc>
        <w:tc>
          <w:tcPr>
            <w:tcW w:w="3240" w:type="dxa"/>
            <w:hideMark/>
          </w:tcPr>
          <w:p w:rsidR="004A7D2E" w:rsidRPr="004122A1" w:rsidRDefault="004A7D2E" w:rsidP="00D56B77">
            <w:r w:rsidRPr="004122A1">
              <w:t>Resolution of Support for Extension of HLB Land Use Permit for Little Bears Playhouse, Inc.</w:t>
            </w:r>
          </w:p>
        </w:tc>
        <w:tc>
          <w:tcPr>
            <w:tcW w:w="6835" w:type="dxa"/>
            <w:hideMark/>
          </w:tcPr>
          <w:p w:rsidR="004A7D2E" w:rsidRPr="004122A1" w:rsidRDefault="004A7D2E" w:rsidP="00D56B77">
            <w:r w:rsidRPr="004122A1">
              <w:t>HLB Land Use Permit 1 year lease with 5 1-year extensions.</w:t>
            </w:r>
          </w:p>
        </w:tc>
      </w:tr>
      <w:tr w:rsidR="004A7D2E" w:rsidRPr="004122A1" w:rsidTr="00D56B77">
        <w:trPr>
          <w:trHeight w:val="300"/>
        </w:trPr>
        <w:tc>
          <w:tcPr>
            <w:tcW w:w="1255" w:type="dxa"/>
            <w:noWrap/>
            <w:hideMark/>
          </w:tcPr>
          <w:p w:rsidR="004A7D2E" w:rsidRPr="004122A1" w:rsidRDefault="004A7D2E" w:rsidP="00D56B77">
            <w:r w:rsidRPr="004122A1">
              <w:t>2015-Eker</w:t>
            </w:r>
          </w:p>
        </w:tc>
        <w:tc>
          <w:tcPr>
            <w:tcW w:w="1620" w:type="dxa"/>
            <w:gridSpan w:val="2"/>
            <w:noWrap/>
            <w:hideMark/>
          </w:tcPr>
          <w:p w:rsidR="004A7D2E" w:rsidRPr="004122A1" w:rsidRDefault="004A7D2E" w:rsidP="00D56B77">
            <w:r w:rsidRPr="004122A1">
              <w:t>4/20/2015</w:t>
            </w:r>
          </w:p>
        </w:tc>
        <w:tc>
          <w:tcPr>
            <w:tcW w:w="3240" w:type="dxa"/>
            <w:hideMark/>
          </w:tcPr>
          <w:p w:rsidR="004A7D2E" w:rsidRPr="004122A1" w:rsidRDefault="004A7D2E" w:rsidP="00D56B77">
            <w:r w:rsidRPr="004122A1">
              <w:t>Resolution of Service for Erin Eker</w:t>
            </w:r>
          </w:p>
        </w:tc>
        <w:tc>
          <w:tcPr>
            <w:tcW w:w="6835" w:type="dxa"/>
            <w:hideMark/>
          </w:tcPr>
          <w:p w:rsidR="004A7D2E" w:rsidRPr="004122A1" w:rsidRDefault="004A7D2E" w:rsidP="00D56B77">
            <w:r w:rsidRPr="004122A1">
              <w:t>GBOS Board Service</w:t>
            </w:r>
          </w:p>
        </w:tc>
      </w:tr>
      <w:tr w:rsidR="004A7D2E" w:rsidRPr="004122A1" w:rsidTr="00D56B77">
        <w:trPr>
          <w:trHeight w:val="300"/>
        </w:trPr>
        <w:tc>
          <w:tcPr>
            <w:tcW w:w="1255" w:type="dxa"/>
            <w:noWrap/>
            <w:hideMark/>
          </w:tcPr>
          <w:p w:rsidR="004A7D2E" w:rsidRPr="004122A1" w:rsidRDefault="004A7D2E" w:rsidP="00D56B77">
            <w:r w:rsidRPr="004122A1">
              <w:t>2015-Chadwick</w:t>
            </w:r>
          </w:p>
        </w:tc>
        <w:tc>
          <w:tcPr>
            <w:tcW w:w="1620" w:type="dxa"/>
            <w:gridSpan w:val="2"/>
            <w:noWrap/>
            <w:hideMark/>
          </w:tcPr>
          <w:p w:rsidR="004A7D2E" w:rsidRPr="004122A1" w:rsidRDefault="004A7D2E" w:rsidP="00D56B77">
            <w:r w:rsidRPr="004122A1">
              <w:t>4/20/2015</w:t>
            </w:r>
          </w:p>
        </w:tc>
        <w:tc>
          <w:tcPr>
            <w:tcW w:w="3240" w:type="dxa"/>
            <w:hideMark/>
          </w:tcPr>
          <w:p w:rsidR="004A7D2E" w:rsidRPr="004122A1" w:rsidRDefault="004A7D2E" w:rsidP="00D56B77">
            <w:r w:rsidRPr="004122A1">
              <w:t>Resolution of Service for David Chadwick</w:t>
            </w:r>
          </w:p>
        </w:tc>
        <w:tc>
          <w:tcPr>
            <w:tcW w:w="6835" w:type="dxa"/>
            <w:hideMark/>
          </w:tcPr>
          <w:p w:rsidR="004A7D2E" w:rsidRPr="004122A1" w:rsidRDefault="004A7D2E" w:rsidP="00D56B77">
            <w:r w:rsidRPr="004122A1">
              <w:t>GBOS Board Service</w:t>
            </w:r>
          </w:p>
        </w:tc>
      </w:tr>
      <w:tr w:rsidR="004A7D2E" w:rsidRPr="004122A1" w:rsidTr="00D56B77">
        <w:trPr>
          <w:trHeight w:val="1200"/>
        </w:trPr>
        <w:tc>
          <w:tcPr>
            <w:tcW w:w="1255" w:type="dxa"/>
            <w:noWrap/>
            <w:hideMark/>
          </w:tcPr>
          <w:p w:rsidR="004A7D2E" w:rsidRPr="004122A1" w:rsidRDefault="004A7D2E" w:rsidP="00D56B77">
            <w:r w:rsidRPr="004122A1">
              <w:t>2015-02</w:t>
            </w:r>
          </w:p>
        </w:tc>
        <w:tc>
          <w:tcPr>
            <w:tcW w:w="1620" w:type="dxa"/>
            <w:gridSpan w:val="2"/>
            <w:noWrap/>
            <w:hideMark/>
          </w:tcPr>
          <w:p w:rsidR="004A7D2E" w:rsidRPr="004122A1" w:rsidRDefault="004A7D2E" w:rsidP="00D56B77">
            <w:r w:rsidRPr="004122A1">
              <w:t>5/11/2015</w:t>
            </w:r>
          </w:p>
        </w:tc>
        <w:tc>
          <w:tcPr>
            <w:tcW w:w="3240" w:type="dxa"/>
            <w:hideMark/>
          </w:tcPr>
          <w:p w:rsidR="004A7D2E" w:rsidRPr="004122A1" w:rsidRDefault="004A7D2E" w:rsidP="00D56B77">
            <w:r w:rsidRPr="004122A1">
              <w:t>Resolution explaining situation of law enforcement in Girdwood, requesting assistance from SOA to find other options and requesting for extension of AST Services until solution is in place.</w:t>
            </w:r>
          </w:p>
        </w:tc>
        <w:tc>
          <w:tcPr>
            <w:tcW w:w="6835" w:type="dxa"/>
            <w:hideMark/>
          </w:tcPr>
          <w:p w:rsidR="004A7D2E" w:rsidRPr="004122A1" w:rsidRDefault="004A7D2E" w:rsidP="00D56B77">
            <w:r w:rsidRPr="004122A1">
              <w:t xml:space="preserve">AST has announced end of service in Girdwood as Girdwood is within the MOA and </w:t>
            </w:r>
            <w:proofErr w:type="spellStart"/>
            <w:r w:rsidRPr="004122A1">
              <w:t>policable</w:t>
            </w:r>
            <w:proofErr w:type="spellEnd"/>
            <w:r w:rsidRPr="004122A1">
              <w:t xml:space="preserve"> through APD.  This resolution recounts the findings of GBOS and Public Safety Task Force as far as options to resolve the issue and also recounts the issues involved in discontinuation of service by AST (other neighborhoods impacted that don't have tax powers, such as Bird, Indian, Portage).</w:t>
            </w:r>
          </w:p>
        </w:tc>
      </w:tr>
      <w:tr w:rsidR="004A7D2E" w:rsidRPr="004122A1" w:rsidTr="00D56B77">
        <w:trPr>
          <w:trHeight w:val="600"/>
        </w:trPr>
        <w:tc>
          <w:tcPr>
            <w:tcW w:w="1255" w:type="dxa"/>
            <w:noWrap/>
            <w:hideMark/>
          </w:tcPr>
          <w:p w:rsidR="004A7D2E" w:rsidRPr="004122A1" w:rsidRDefault="004A7D2E" w:rsidP="00D56B77">
            <w:r w:rsidRPr="004122A1">
              <w:t>2015-03</w:t>
            </w:r>
          </w:p>
        </w:tc>
        <w:tc>
          <w:tcPr>
            <w:tcW w:w="1620" w:type="dxa"/>
            <w:gridSpan w:val="2"/>
            <w:noWrap/>
            <w:hideMark/>
          </w:tcPr>
          <w:p w:rsidR="004A7D2E" w:rsidRPr="004122A1" w:rsidRDefault="004A7D2E" w:rsidP="00D56B77">
            <w:r w:rsidRPr="004122A1">
              <w:t>6/15/2015</w:t>
            </w:r>
          </w:p>
        </w:tc>
        <w:tc>
          <w:tcPr>
            <w:tcW w:w="3240" w:type="dxa"/>
            <w:hideMark/>
          </w:tcPr>
          <w:p w:rsidR="004A7D2E" w:rsidRPr="004122A1" w:rsidRDefault="004A7D2E" w:rsidP="00D56B77">
            <w:r w:rsidRPr="004122A1">
              <w:t>Resolution Change in Municipal Charter as it relates to the Girdwood Community Council</w:t>
            </w:r>
          </w:p>
        </w:tc>
        <w:tc>
          <w:tcPr>
            <w:tcW w:w="6835" w:type="dxa"/>
            <w:hideMark/>
          </w:tcPr>
          <w:p w:rsidR="004A7D2E" w:rsidRPr="004122A1" w:rsidRDefault="004A7D2E" w:rsidP="00D56B77">
            <w:r w:rsidRPr="004122A1">
              <w:t>GBOS Support to change municipal charter to allow GBOS to continue to act as neighborhood council</w:t>
            </w:r>
          </w:p>
        </w:tc>
      </w:tr>
      <w:tr w:rsidR="004A7D2E" w:rsidRPr="004122A1" w:rsidTr="00D56B77">
        <w:trPr>
          <w:trHeight w:val="1500"/>
        </w:trPr>
        <w:tc>
          <w:tcPr>
            <w:tcW w:w="1255" w:type="dxa"/>
            <w:noWrap/>
            <w:hideMark/>
          </w:tcPr>
          <w:p w:rsidR="004A7D2E" w:rsidRPr="004122A1" w:rsidRDefault="004A7D2E" w:rsidP="00D56B77">
            <w:r w:rsidRPr="004122A1">
              <w:t>2015-04</w:t>
            </w:r>
          </w:p>
        </w:tc>
        <w:tc>
          <w:tcPr>
            <w:tcW w:w="1620" w:type="dxa"/>
            <w:gridSpan w:val="2"/>
            <w:noWrap/>
            <w:hideMark/>
          </w:tcPr>
          <w:p w:rsidR="004A7D2E" w:rsidRPr="004122A1" w:rsidRDefault="004A7D2E" w:rsidP="00D56B77">
            <w:r w:rsidRPr="004122A1">
              <w:t>8/19/2015</w:t>
            </w:r>
          </w:p>
        </w:tc>
        <w:tc>
          <w:tcPr>
            <w:tcW w:w="3240" w:type="dxa"/>
            <w:hideMark/>
          </w:tcPr>
          <w:p w:rsidR="004A7D2E" w:rsidRPr="004122A1" w:rsidRDefault="004A7D2E" w:rsidP="00D56B77">
            <w:r w:rsidRPr="004122A1">
              <w:t>Resolution of support for Text Amendment to AMC 21.09, Girdwood Land Use Regulations, to add a "Manufacturing, general" line item to Table 21.09.050-1 and to place a "C" (for Conditional use Permit required) in the gC-10 column for this purpose</w:t>
            </w:r>
          </w:p>
        </w:tc>
        <w:tc>
          <w:tcPr>
            <w:tcW w:w="6835" w:type="dxa"/>
            <w:hideMark/>
          </w:tcPr>
          <w:p w:rsidR="004A7D2E" w:rsidRPr="004122A1" w:rsidRDefault="004A7D2E" w:rsidP="00D56B77">
            <w:r w:rsidRPr="004122A1">
              <w:t xml:space="preserve">Girdwood Brewing Co seeking change in MOA Code to allow manufacturing on commercial land </w:t>
            </w:r>
          </w:p>
        </w:tc>
      </w:tr>
      <w:tr w:rsidR="004A7D2E" w:rsidRPr="004122A1" w:rsidTr="00D56B77">
        <w:trPr>
          <w:trHeight w:val="2100"/>
        </w:trPr>
        <w:tc>
          <w:tcPr>
            <w:tcW w:w="1255" w:type="dxa"/>
            <w:noWrap/>
            <w:hideMark/>
          </w:tcPr>
          <w:p w:rsidR="004A7D2E" w:rsidRPr="004122A1" w:rsidRDefault="004A7D2E" w:rsidP="00D56B77">
            <w:r w:rsidRPr="004122A1">
              <w:lastRenderedPageBreak/>
              <w:t>2015-05</w:t>
            </w:r>
          </w:p>
        </w:tc>
        <w:tc>
          <w:tcPr>
            <w:tcW w:w="1620" w:type="dxa"/>
            <w:gridSpan w:val="2"/>
            <w:noWrap/>
            <w:hideMark/>
          </w:tcPr>
          <w:p w:rsidR="004A7D2E" w:rsidRPr="004122A1" w:rsidRDefault="004A7D2E" w:rsidP="00D56B77">
            <w:r w:rsidRPr="004122A1">
              <w:t>10/19/2015</w:t>
            </w:r>
          </w:p>
        </w:tc>
        <w:tc>
          <w:tcPr>
            <w:tcW w:w="3240" w:type="dxa"/>
            <w:hideMark/>
          </w:tcPr>
          <w:p w:rsidR="004A7D2E" w:rsidRPr="004122A1" w:rsidRDefault="004A7D2E" w:rsidP="00D56B77">
            <w:r w:rsidRPr="004122A1">
              <w:t xml:space="preserve">Resolution of Support of dedication of a 20' public use easement along the east side of the existing 60'wide Egloff Drive, from Alyeska Highway to </w:t>
            </w:r>
            <w:proofErr w:type="spellStart"/>
            <w:r w:rsidRPr="004122A1">
              <w:t>Karolius</w:t>
            </w:r>
            <w:proofErr w:type="spellEnd"/>
            <w:r w:rsidRPr="004122A1">
              <w:t xml:space="preserve"> Drive, for a total right-of-way width of 80', and for dedication of 2-20' wide drainage easements, within Girdwood South Townsite Subdivision, Tract D-5 and Glacier View Estates Subdivision Tract 1, as shown </w:t>
            </w:r>
          </w:p>
        </w:tc>
        <w:tc>
          <w:tcPr>
            <w:tcW w:w="6835" w:type="dxa"/>
            <w:hideMark/>
          </w:tcPr>
          <w:p w:rsidR="004A7D2E" w:rsidRPr="004122A1" w:rsidRDefault="004A7D2E" w:rsidP="00D56B77">
            <w:r w:rsidRPr="004122A1">
              <w:t xml:space="preserve">Construction documents for Egloff Road to include drainages and ROW </w:t>
            </w:r>
          </w:p>
        </w:tc>
      </w:tr>
      <w:tr w:rsidR="004A7D2E" w:rsidRPr="004122A1" w:rsidTr="00D56B77">
        <w:trPr>
          <w:trHeight w:val="600"/>
        </w:trPr>
        <w:tc>
          <w:tcPr>
            <w:tcW w:w="1255" w:type="dxa"/>
            <w:noWrap/>
            <w:hideMark/>
          </w:tcPr>
          <w:p w:rsidR="004A7D2E" w:rsidRPr="004122A1" w:rsidRDefault="004A7D2E" w:rsidP="00D56B77">
            <w:r w:rsidRPr="004122A1">
              <w:t>2015-06</w:t>
            </w:r>
          </w:p>
        </w:tc>
        <w:tc>
          <w:tcPr>
            <w:tcW w:w="1620" w:type="dxa"/>
            <w:gridSpan w:val="2"/>
            <w:noWrap/>
            <w:hideMark/>
          </w:tcPr>
          <w:p w:rsidR="004A7D2E" w:rsidRPr="004122A1" w:rsidRDefault="004A7D2E" w:rsidP="00D56B77">
            <w:r w:rsidRPr="004122A1">
              <w:t>11/16/2015</w:t>
            </w:r>
          </w:p>
        </w:tc>
        <w:tc>
          <w:tcPr>
            <w:tcW w:w="3240" w:type="dxa"/>
            <w:hideMark/>
          </w:tcPr>
          <w:p w:rsidR="004A7D2E" w:rsidRPr="004122A1" w:rsidRDefault="004A7D2E" w:rsidP="00D56B77">
            <w:r w:rsidRPr="004122A1">
              <w:t>Resolution to Support Dedication of the Girdwood Lions Club Park</w:t>
            </w:r>
          </w:p>
        </w:tc>
        <w:tc>
          <w:tcPr>
            <w:tcW w:w="6835" w:type="dxa"/>
            <w:hideMark/>
          </w:tcPr>
          <w:p w:rsidR="004A7D2E" w:rsidRPr="004122A1" w:rsidRDefault="004A7D2E" w:rsidP="00D56B77">
            <w:r w:rsidRPr="004122A1">
              <w:t xml:space="preserve">Lions Club Park has been located on Egloff Drive since it was moved from </w:t>
            </w:r>
            <w:proofErr w:type="spellStart"/>
            <w:r w:rsidRPr="004122A1">
              <w:t>Ruane</w:t>
            </w:r>
            <w:proofErr w:type="spellEnd"/>
            <w:r w:rsidRPr="004122A1">
              <w:t xml:space="preserve"> Road.  Lions Club Park should be formally dedicated to protect it.</w:t>
            </w:r>
          </w:p>
        </w:tc>
      </w:tr>
      <w:tr w:rsidR="004A7D2E" w:rsidRPr="004122A1" w:rsidTr="00D56B77">
        <w:trPr>
          <w:trHeight w:val="600"/>
        </w:trPr>
        <w:tc>
          <w:tcPr>
            <w:tcW w:w="1255" w:type="dxa"/>
            <w:noWrap/>
            <w:hideMark/>
          </w:tcPr>
          <w:p w:rsidR="004A7D2E" w:rsidRPr="004122A1" w:rsidRDefault="004A7D2E" w:rsidP="00D56B77">
            <w:r w:rsidRPr="004122A1">
              <w:t>2015-07</w:t>
            </w:r>
          </w:p>
        </w:tc>
        <w:tc>
          <w:tcPr>
            <w:tcW w:w="1620" w:type="dxa"/>
            <w:gridSpan w:val="2"/>
            <w:noWrap/>
            <w:hideMark/>
          </w:tcPr>
          <w:p w:rsidR="004A7D2E" w:rsidRPr="004122A1" w:rsidRDefault="004A7D2E" w:rsidP="00D56B77">
            <w:r w:rsidRPr="004122A1">
              <w:t>11/16/2015</w:t>
            </w:r>
          </w:p>
        </w:tc>
        <w:tc>
          <w:tcPr>
            <w:tcW w:w="3240" w:type="dxa"/>
            <w:hideMark/>
          </w:tcPr>
          <w:p w:rsidR="004A7D2E" w:rsidRPr="004122A1" w:rsidRDefault="004A7D2E" w:rsidP="00D56B77">
            <w:r w:rsidRPr="004122A1">
              <w:t>Resolution of Support for Challenge Alaska too include in their Alaska Mental Health Transit Grant Application</w:t>
            </w:r>
          </w:p>
        </w:tc>
        <w:tc>
          <w:tcPr>
            <w:tcW w:w="6835" w:type="dxa"/>
            <w:hideMark/>
          </w:tcPr>
          <w:p w:rsidR="004A7D2E" w:rsidRPr="004122A1" w:rsidRDefault="004A7D2E" w:rsidP="00D56B77">
            <w:r w:rsidRPr="004122A1">
              <w:t>Challenge Alaska is applying for grant funds to purchase bus for disabled transit to Girdwood</w:t>
            </w:r>
          </w:p>
        </w:tc>
      </w:tr>
      <w:tr w:rsidR="005A6064" w:rsidRPr="004122A1" w:rsidTr="005A6064">
        <w:trPr>
          <w:trHeight w:val="600"/>
        </w:trPr>
        <w:tc>
          <w:tcPr>
            <w:tcW w:w="1255" w:type="dxa"/>
            <w:noWrap/>
            <w:hideMark/>
          </w:tcPr>
          <w:p w:rsidR="005A6064" w:rsidRPr="004122A1" w:rsidRDefault="005A6064" w:rsidP="00C477BE">
            <w:r>
              <w:t>2015-08</w:t>
            </w:r>
          </w:p>
        </w:tc>
        <w:tc>
          <w:tcPr>
            <w:tcW w:w="1620" w:type="dxa"/>
            <w:gridSpan w:val="2"/>
            <w:noWrap/>
            <w:hideMark/>
          </w:tcPr>
          <w:p w:rsidR="005A6064" w:rsidRPr="004122A1" w:rsidRDefault="005A6064" w:rsidP="00C477BE">
            <w:r>
              <w:t>12/08</w:t>
            </w:r>
            <w:r w:rsidRPr="004122A1">
              <w:t>/2015</w:t>
            </w:r>
          </w:p>
        </w:tc>
        <w:tc>
          <w:tcPr>
            <w:tcW w:w="3240" w:type="dxa"/>
            <w:hideMark/>
          </w:tcPr>
          <w:p w:rsidR="005A6064" w:rsidRPr="004122A1" w:rsidRDefault="005A6064" w:rsidP="005A6064">
            <w:r w:rsidRPr="004122A1">
              <w:t xml:space="preserve">Resolution </w:t>
            </w:r>
            <w:r>
              <w:t>Requesting new election of officers by the GFR BOD and begin hiring new chief</w:t>
            </w:r>
          </w:p>
        </w:tc>
        <w:tc>
          <w:tcPr>
            <w:tcW w:w="6835" w:type="dxa"/>
            <w:hideMark/>
          </w:tcPr>
          <w:p w:rsidR="005A6064" w:rsidRPr="004122A1" w:rsidRDefault="005A6064" w:rsidP="00C477BE">
            <w:r>
              <w:t xml:space="preserve">GFR election in October 2015 </w:t>
            </w:r>
            <w:r w:rsidR="00581111">
              <w:t xml:space="preserve">was </w:t>
            </w:r>
            <w:r>
              <w:t>declared invalid</w:t>
            </w:r>
            <w:r w:rsidR="00581111">
              <w:t>. GBOS request for new election, appoint interim chief and begin process for hiring new chief.</w:t>
            </w:r>
          </w:p>
        </w:tc>
      </w:tr>
      <w:tr w:rsidR="005A6064" w:rsidRPr="004122A1" w:rsidTr="005A6064">
        <w:trPr>
          <w:trHeight w:val="600"/>
        </w:trPr>
        <w:tc>
          <w:tcPr>
            <w:tcW w:w="1255" w:type="dxa"/>
            <w:noWrap/>
            <w:hideMark/>
          </w:tcPr>
          <w:p w:rsidR="005A6064" w:rsidRPr="004122A1" w:rsidRDefault="005A6064" w:rsidP="00C477BE">
            <w:r>
              <w:t>2015-09</w:t>
            </w:r>
          </w:p>
        </w:tc>
        <w:tc>
          <w:tcPr>
            <w:tcW w:w="1620" w:type="dxa"/>
            <w:gridSpan w:val="2"/>
            <w:noWrap/>
            <w:hideMark/>
          </w:tcPr>
          <w:p w:rsidR="005A6064" w:rsidRPr="004122A1" w:rsidRDefault="00581111" w:rsidP="00581111">
            <w:r>
              <w:t>12</w:t>
            </w:r>
            <w:r w:rsidR="005A6064" w:rsidRPr="004122A1">
              <w:t>/1</w:t>
            </w:r>
            <w:r>
              <w:t>4</w:t>
            </w:r>
            <w:bookmarkStart w:id="0" w:name="_GoBack"/>
            <w:bookmarkEnd w:id="0"/>
            <w:r w:rsidR="005A6064" w:rsidRPr="004122A1">
              <w:t>/2015</w:t>
            </w:r>
          </w:p>
        </w:tc>
        <w:tc>
          <w:tcPr>
            <w:tcW w:w="3240" w:type="dxa"/>
            <w:hideMark/>
          </w:tcPr>
          <w:p w:rsidR="005A6064" w:rsidRPr="004122A1" w:rsidRDefault="005A6064" w:rsidP="00581111">
            <w:r w:rsidRPr="004122A1">
              <w:t xml:space="preserve">Resolution of Support for </w:t>
            </w:r>
            <w:r w:rsidR="00581111">
              <w:t>ballot initiative to address public safety after AST closure of the trooper post, allowing GVSA voters authority to tax for public safety and hire contracted police services.</w:t>
            </w:r>
          </w:p>
        </w:tc>
        <w:tc>
          <w:tcPr>
            <w:tcW w:w="6835" w:type="dxa"/>
            <w:hideMark/>
          </w:tcPr>
          <w:p w:rsidR="005A6064" w:rsidRPr="004122A1" w:rsidRDefault="00581111" w:rsidP="00C477BE">
            <w:r>
              <w:t>GVSA needs to receive authority to tax for police services and hire police under contract.</w:t>
            </w:r>
          </w:p>
        </w:tc>
      </w:tr>
    </w:tbl>
    <w:p w:rsidR="006006E9" w:rsidRDefault="004A7D2E">
      <w:r>
        <w:br w:type="page"/>
      </w:r>
    </w:p>
    <w:sectPr w:rsidR="006006E9" w:rsidSect="004A7D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2E"/>
    <w:rsid w:val="004A7D2E"/>
    <w:rsid w:val="00581111"/>
    <w:rsid w:val="005A6064"/>
    <w:rsid w:val="0060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7F79D-E09C-44D9-AEE9-E6053B62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BDDD79-87E3-468E-9CED-54BF742C4D40}"/>
</file>

<file path=customXml/itemProps2.xml><?xml version="1.0" encoding="utf-8"?>
<ds:datastoreItem xmlns:ds="http://schemas.openxmlformats.org/officeDocument/2006/customXml" ds:itemID="{42F29552-18C6-40C8-A513-6D1B0FA6CA62}"/>
</file>

<file path=customXml/itemProps3.xml><?xml version="1.0" encoding="utf-8"?>
<ds:datastoreItem xmlns:ds="http://schemas.openxmlformats.org/officeDocument/2006/customXml" ds:itemID="{9F10CEB4-DF5D-44FA-A5EE-9A9AF63938A9}"/>
</file>

<file path=docProps/app.xml><?xml version="1.0" encoding="utf-8"?>
<Properties xmlns="http://schemas.openxmlformats.org/officeDocument/2006/extended-properties" xmlns:vt="http://schemas.openxmlformats.org/officeDocument/2006/docPropsVTypes">
  <Template>Normal.dotm</Template>
  <TotalTime>15</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dcterms:created xsi:type="dcterms:W3CDTF">2016-11-29T23:30:00Z</dcterms:created>
  <dcterms:modified xsi:type="dcterms:W3CDTF">2018-11-28T00:21:00Z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