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468" w:type="dxa"/>
        <w:tblLayout w:type="fixed"/>
        <w:tblLook w:val="0000" w:firstRow="0" w:lastRow="0" w:firstColumn="0" w:lastColumn="0" w:noHBand="0" w:noVBand="0"/>
      </w:tblPr>
      <w:tblGrid>
        <w:gridCol w:w="3060"/>
        <w:gridCol w:w="2856"/>
        <w:gridCol w:w="744"/>
        <w:gridCol w:w="2880"/>
      </w:tblGrid>
      <w:tr w:rsidR="00B346AF" w:rsidRPr="000F392C" w:rsidTr="0096083B">
        <w:trPr>
          <w:cantSplit/>
        </w:trPr>
        <w:tc>
          <w:tcPr>
            <w:tcW w:w="3060" w:type="dxa"/>
            <w:vMerge w:val="restart"/>
            <w:tcBorders>
              <w:top w:val="nil"/>
              <w:left w:val="nil"/>
              <w:bottom w:val="nil"/>
              <w:right w:val="nil"/>
            </w:tcBorders>
          </w:tcPr>
          <w:p w:rsidR="00B346AF" w:rsidRPr="007B0D4A" w:rsidRDefault="00B346AF" w:rsidP="0096083B">
            <w:pPr>
              <w:pStyle w:val="Heading5"/>
              <w:widowControl/>
              <w:autoSpaceDE/>
              <w:autoSpaceDN/>
              <w:adjustRightInd/>
              <w:ind w:left="360" w:hanging="360"/>
              <w:rPr>
                <w:rFonts w:ascii="Calibri" w:hAnsi="Calibri"/>
                <w:bCs w:val="0"/>
                <w:sz w:val="48"/>
                <w:szCs w:val="48"/>
              </w:rPr>
            </w:pPr>
            <w:r>
              <w:rPr>
                <w:rFonts w:ascii="Calibri" w:hAnsi="Calibri"/>
                <w:bCs w:val="0"/>
                <w:szCs w:val="24"/>
              </w:rPr>
              <w:t xml:space="preserve">  </w:t>
            </w:r>
            <w:r w:rsidRPr="007B0D4A">
              <w:rPr>
                <w:rFonts w:ascii="Calibri" w:hAnsi="Calibri"/>
                <w:bCs w:val="0"/>
                <w:sz w:val="48"/>
                <w:szCs w:val="48"/>
              </w:rPr>
              <w:t>Municipality</w:t>
            </w:r>
          </w:p>
          <w:p w:rsidR="00B346AF" w:rsidRPr="007B0D4A" w:rsidRDefault="00B346AF" w:rsidP="0096083B">
            <w:pPr>
              <w:keepLines/>
              <w:tabs>
                <w:tab w:val="left" w:pos="2160"/>
              </w:tabs>
              <w:spacing w:line="160" w:lineRule="atLeast"/>
              <w:ind w:left="540" w:hanging="360"/>
              <w:jc w:val="right"/>
              <w:rPr>
                <w:rFonts w:ascii="Calibri" w:hAnsi="Calibri"/>
                <w:b/>
                <w:color w:val="0000FF"/>
                <w:sz w:val="48"/>
                <w:szCs w:val="48"/>
              </w:rPr>
            </w:pPr>
            <w:r w:rsidRPr="007B0D4A">
              <w:rPr>
                <w:rFonts w:ascii="Calibri" w:hAnsi="Calibri"/>
                <w:b/>
                <w:color w:val="0000FF"/>
                <w:sz w:val="48"/>
                <w:szCs w:val="48"/>
              </w:rPr>
              <w:t>of</w:t>
            </w:r>
          </w:p>
          <w:p w:rsidR="00B346AF" w:rsidRPr="000F392C" w:rsidRDefault="00B346AF" w:rsidP="0096083B">
            <w:pPr>
              <w:pStyle w:val="Heading5"/>
              <w:ind w:left="360" w:hanging="360"/>
              <w:rPr>
                <w:rFonts w:ascii="Calibri" w:hAnsi="Calibri"/>
                <w:sz w:val="22"/>
              </w:rPr>
            </w:pPr>
            <w:r w:rsidRPr="007B0D4A">
              <w:rPr>
                <w:rFonts w:ascii="Calibri" w:hAnsi="Calibri"/>
                <w:sz w:val="48"/>
                <w:szCs w:val="48"/>
              </w:rPr>
              <w:t>Anchorage</w:t>
            </w:r>
          </w:p>
        </w:tc>
        <w:tc>
          <w:tcPr>
            <w:tcW w:w="3600" w:type="dxa"/>
            <w:gridSpan w:val="2"/>
            <w:vMerge w:val="restart"/>
            <w:tcBorders>
              <w:top w:val="nil"/>
              <w:left w:val="nil"/>
              <w:bottom w:val="nil"/>
              <w:right w:val="nil"/>
            </w:tcBorders>
          </w:tcPr>
          <w:p w:rsidR="00B346AF" w:rsidRPr="000F392C" w:rsidRDefault="00B346AF" w:rsidP="0096083B">
            <w:pPr>
              <w:keepLines/>
              <w:tabs>
                <w:tab w:val="left" w:pos="2160"/>
              </w:tabs>
              <w:spacing w:line="160" w:lineRule="atLeast"/>
              <w:jc w:val="center"/>
              <w:rPr>
                <w:rFonts w:ascii="Calibri" w:hAnsi="Calibri"/>
                <w:i/>
                <w:color w:val="0000FF"/>
              </w:rPr>
            </w:pPr>
            <w:r w:rsidRPr="00B11FCB">
              <w:rPr>
                <w:rFonts w:ascii="Calibri" w:hAnsi="Calibri"/>
                <w:noProof/>
              </w:rPr>
              <w:drawing>
                <wp:inline distT="0" distB="0" distL="0" distR="0">
                  <wp:extent cx="1677670" cy="147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7670" cy="1473835"/>
                          </a:xfrm>
                          <a:prstGeom prst="rect">
                            <a:avLst/>
                          </a:prstGeom>
                          <a:noFill/>
                          <a:ln>
                            <a:noFill/>
                          </a:ln>
                        </pic:spPr>
                      </pic:pic>
                    </a:graphicData>
                  </a:graphic>
                </wp:inline>
              </w:drawing>
            </w:r>
          </w:p>
        </w:tc>
        <w:tc>
          <w:tcPr>
            <w:tcW w:w="2880" w:type="dxa"/>
            <w:tcBorders>
              <w:top w:val="nil"/>
              <w:left w:val="nil"/>
              <w:bottom w:val="nil"/>
              <w:right w:val="nil"/>
            </w:tcBorders>
          </w:tcPr>
          <w:p w:rsidR="00B346AF" w:rsidRPr="000F392C" w:rsidRDefault="00B346AF" w:rsidP="0096083B">
            <w:pPr>
              <w:keepLines/>
              <w:tabs>
                <w:tab w:val="left" w:pos="2160"/>
              </w:tabs>
              <w:spacing w:line="160" w:lineRule="atLeast"/>
              <w:rPr>
                <w:rFonts w:ascii="Calibri" w:hAnsi="Calibri"/>
                <w:i/>
                <w:color w:val="0000FF"/>
              </w:rPr>
            </w:pPr>
          </w:p>
        </w:tc>
      </w:tr>
      <w:tr w:rsidR="00B346AF" w:rsidTr="0096083B">
        <w:trPr>
          <w:cantSplit/>
        </w:trPr>
        <w:tc>
          <w:tcPr>
            <w:tcW w:w="3060" w:type="dxa"/>
            <w:vMerge/>
            <w:tcBorders>
              <w:top w:val="nil"/>
              <w:left w:val="nil"/>
              <w:bottom w:val="nil"/>
              <w:right w:val="nil"/>
            </w:tcBorders>
          </w:tcPr>
          <w:p w:rsidR="00B346AF" w:rsidRDefault="00B346AF" w:rsidP="0096083B">
            <w:pPr>
              <w:keepLines/>
              <w:tabs>
                <w:tab w:val="left" w:pos="2160"/>
              </w:tabs>
              <w:spacing w:line="160" w:lineRule="atLeast"/>
              <w:ind w:left="360" w:hanging="360"/>
              <w:rPr>
                <w:i/>
                <w:color w:val="0000FF"/>
              </w:rPr>
            </w:pPr>
          </w:p>
        </w:tc>
        <w:tc>
          <w:tcPr>
            <w:tcW w:w="3600" w:type="dxa"/>
            <w:gridSpan w:val="2"/>
            <w:vMerge/>
            <w:tcBorders>
              <w:top w:val="nil"/>
              <w:left w:val="nil"/>
              <w:bottom w:val="nil"/>
              <w:right w:val="nil"/>
            </w:tcBorders>
          </w:tcPr>
          <w:p w:rsidR="00B346AF" w:rsidRDefault="00B346AF" w:rsidP="0096083B">
            <w:pPr>
              <w:keepLines/>
              <w:tabs>
                <w:tab w:val="left" w:pos="2160"/>
              </w:tabs>
              <w:spacing w:line="160" w:lineRule="atLeast"/>
              <w:rPr>
                <w:i/>
                <w:color w:val="0000FF"/>
              </w:rPr>
            </w:pPr>
          </w:p>
        </w:tc>
        <w:tc>
          <w:tcPr>
            <w:tcW w:w="2880" w:type="dxa"/>
            <w:tcBorders>
              <w:top w:val="nil"/>
              <w:left w:val="nil"/>
              <w:bottom w:val="nil"/>
              <w:right w:val="nil"/>
            </w:tcBorders>
          </w:tcPr>
          <w:p w:rsidR="00B346AF" w:rsidRDefault="00B346AF" w:rsidP="0096083B">
            <w:pPr>
              <w:keepLines/>
              <w:tabs>
                <w:tab w:val="left" w:pos="2160"/>
              </w:tabs>
              <w:spacing w:line="160" w:lineRule="atLeast"/>
              <w:rPr>
                <w:i/>
                <w:color w:val="0000FF"/>
              </w:rPr>
            </w:pPr>
          </w:p>
        </w:tc>
      </w:tr>
      <w:tr w:rsidR="00B346AF" w:rsidTr="0096083B">
        <w:trPr>
          <w:cantSplit/>
          <w:trHeight w:val="80"/>
        </w:trPr>
        <w:tc>
          <w:tcPr>
            <w:tcW w:w="3060" w:type="dxa"/>
            <w:vMerge/>
            <w:tcBorders>
              <w:top w:val="nil"/>
              <w:left w:val="nil"/>
              <w:bottom w:val="nil"/>
              <w:right w:val="nil"/>
            </w:tcBorders>
          </w:tcPr>
          <w:p w:rsidR="00B346AF" w:rsidRDefault="00B346AF" w:rsidP="0096083B">
            <w:pPr>
              <w:keepLines/>
              <w:tabs>
                <w:tab w:val="left" w:pos="2160"/>
              </w:tabs>
              <w:spacing w:line="160" w:lineRule="atLeast"/>
              <w:ind w:left="360" w:hanging="360"/>
              <w:rPr>
                <w:i/>
                <w:color w:val="0000FF"/>
              </w:rPr>
            </w:pPr>
          </w:p>
        </w:tc>
        <w:tc>
          <w:tcPr>
            <w:tcW w:w="3600" w:type="dxa"/>
            <w:gridSpan w:val="2"/>
            <w:vMerge/>
            <w:tcBorders>
              <w:top w:val="nil"/>
              <w:left w:val="nil"/>
              <w:bottom w:val="nil"/>
              <w:right w:val="nil"/>
            </w:tcBorders>
          </w:tcPr>
          <w:p w:rsidR="00B346AF" w:rsidRDefault="00B346AF" w:rsidP="0096083B">
            <w:pPr>
              <w:keepLines/>
              <w:tabs>
                <w:tab w:val="left" w:pos="2160"/>
              </w:tabs>
              <w:spacing w:line="160" w:lineRule="atLeast"/>
              <w:rPr>
                <w:i/>
                <w:color w:val="0000FF"/>
              </w:rPr>
            </w:pPr>
          </w:p>
        </w:tc>
        <w:tc>
          <w:tcPr>
            <w:tcW w:w="2880" w:type="dxa"/>
            <w:tcBorders>
              <w:top w:val="nil"/>
              <w:left w:val="nil"/>
              <w:bottom w:val="nil"/>
              <w:right w:val="nil"/>
            </w:tcBorders>
          </w:tcPr>
          <w:p w:rsidR="00B346AF" w:rsidRDefault="00B346AF" w:rsidP="0096083B">
            <w:pPr>
              <w:keepLines/>
              <w:tabs>
                <w:tab w:val="left" w:pos="2160"/>
              </w:tabs>
              <w:spacing w:line="160" w:lineRule="atLeast"/>
              <w:rPr>
                <w:i/>
                <w:color w:val="0000FF"/>
              </w:rPr>
            </w:pPr>
          </w:p>
        </w:tc>
      </w:tr>
      <w:tr w:rsidR="00B346AF" w:rsidRPr="000F392C" w:rsidTr="0096083B">
        <w:trPr>
          <w:trHeight w:val="738"/>
        </w:trPr>
        <w:tc>
          <w:tcPr>
            <w:tcW w:w="3060" w:type="dxa"/>
            <w:tcBorders>
              <w:top w:val="nil"/>
              <w:left w:val="nil"/>
              <w:bottom w:val="nil"/>
              <w:right w:val="nil"/>
            </w:tcBorders>
          </w:tcPr>
          <w:p w:rsidR="00B346AF" w:rsidRPr="007B0D4A" w:rsidRDefault="00B346AF" w:rsidP="0096083B">
            <w:pPr>
              <w:keepLines/>
              <w:tabs>
                <w:tab w:val="left" w:pos="2160"/>
              </w:tabs>
              <w:spacing w:line="160" w:lineRule="atLeast"/>
              <w:ind w:left="360" w:hanging="360"/>
              <w:rPr>
                <w:rFonts w:ascii="Garamond" w:hAnsi="Garamond"/>
                <w:i/>
                <w:color w:val="0000FF"/>
                <w:sz w:val="20"/>
                <w:szCs w:val="20"/>
              </w:rPr>
            </w:pPr>
            <w:r w:rsidRPr="007B0D4A">
              <w:rPr>
                <w:rFonts w:ascii="Garamond" w:hAnsi="Garamond"/>
                <w:i/>
                <w:color w:val="0000FF"/>
                <w:sz w:val="20"/>
                <w:szCs w:val="20"/>
              </w:rPr>
              <w:t xml:space="preserve">P.O Box 390 </w:t>
            </w:r>
          </w:p>
          <w:p w:rsidR="00B346AF" w:rsidRPr="007B0D4A" w:rsidRDefault="00B346AF" w:rsidP="0096083B">
            <w:pPr>
              <w:keepLines/>
              <w:tabs>
                <w:tab w:val="left" w:pos="2160"/>
              </w:tabs>
              <w:spacing w:line="160" w:lineRule="atLeast"/>
              <w:ind w:left="360" w:hanging="360"/>
              <w:rPr>
                <w:rFonts w:ascii="Garamond" w:hAnsi="Garamond"/>
                <w:i/>
                <w:color w:val="0000FF"/>
                <w:sz w:val="20"/>
                <w:szCs w:val="20"/>
              </w:rPr>
            </w:pPr>
            <w:r w:rsidRPr="007B0D4A">
              <w:rPr>
                <w:rFonts w:ascii="Garamond" w:hAnsi="Garamond"/>
                <w:i/>
                <w:color w:val="0000FF"/>
                <w:sz w:val="20"/>
                <w:szCs w:val="20"/>
              </w:rPr>
              <w:t>Girdwood, Alaska 99587</w:t>
            </w:r>
          </w:p>
          <w:p w:rsidR="00B346AF" w:rsidRPr="000F392C" w:rsidRDefault="00B346AF" w:rsidP="0096083B">
            <w:pPr>
              <w:keepLines/>
              <w:tabs>
                <w:tab w:val="left" w:pos="2160"/>
              </w:tabs>
              <w:spacing w:line="160" w:lineRule="atLeast"/>
              <w:ind w:left="360" w:hanging="360"/>
              <w:rPr>
                <w:rFonts w:ascii="Garamond" w:hAnsi="Garamond"/>
                <w:i/>
                <w:color w:val="0000FF"/>
                <w:sz w:val="23"/>
                <w:u w:val="single"/>
              </w:rPr>
            </w:pPr>
            <w:hyperlink r:id="rId5" w:history="1">
              <w:r w:rsidRPr="00A75236">
                <w:rPr>
                  <w:rStyle w:val="Hyperlink"/>
                  <w:rFonts w:ascii="Garamond" w:hAnsi="Garamond"/>
                  <w:i/>
                  <w:sz w:val="20"/>
                  <w:szCs w:val="20"/>
                </w:rPr>
                <w:t>http://www.muni.org/gbos</w:t>
              </w:r>
            </w:hyperlink>
          </w:p>
        </w:tc>
        <w:tc>
          <w:tcPr>
            <w:tcW w:w="6480" w:type="dxa"/>
            <w:gridSpan w:val="3"/>
            <w:tcBorders>
              <w:top w:val="nil"/>
              <w:left w:val="nil"/>
              <w:bottom w:val="nil"/>
              <w:right w:val="nil"/>
            </w:tcBorders>
          </w:tcPr>
          <w:p w:rsidR="00B346AF" w:rsidRPr="007B0D4A" w:rsidRDefault="00B346AF" w:rsidP="0096083B">
            <w:pPr>
              <w:spacing w:line="220" w:lineRule="atLeast"/>
              <w:jc w:val="center"/>
              <w:rPr>
                <w:i/>
                <w:color w:val="0000FF"/>
                <w:sz w:val="20"/>
                <w:szCs w:val="20"/>
              </w:rPr>
            </w:pPr>
            <w:r w:rsidRPr="007B0D4A">
              <w:rPr>
                <w:i/>
                <w:color w:val="0000FF"/>
                <w:sz w:val="20"/>
                <w:szCs w:val="20"/>
              </w:rPr>
              <w:t>GIRDWOOD VALLEY SERVICE AREA BOARD OF SUPERVISORS</w:t>
            </w:r>
          </w:p>
          <w:p w:rsidR="00B346AF" w:rsidRDefault="00B346AF" w:rsidP="0096083B">
            <w:pPr>
              <w:spacing w:line="220" w:lineRule="atLeast"/>
              <w:jc w:val="center"/>
              <w:rPr>
                <w:i/>
                <w:color w:val="0000FF"/>
                <w:sz w:val="20"/>
                <w:szCs w:val="20"/>
              </w:rPr>
            </w:pPr>
            <w:r>
              <w:rPr>
                <w:i/>
                <w:color w:val="0000FF"/>
                <w:sz w:val="20"/>
                <w:szCs w:val="20"/>
              </w:rPr>
              <w:t>Jerry Fox &amp; Robert Snitzer, Co-Chairs</w:t>
            </w:r>
          </w:p>
          <w:p w:rsidR="00B346AF" w:rsidRPr="000F392C" w:rsidRDefault="00B346AF" w:rsidP="0096083B">
            <w:pPr>
              <w:spacing w:line="220" w:lineRule="atLeast"/>
              <w:jc w:val="center"/>
              <w:rPr>
                <w:i/>
                <w:color w:val="0000FF"/>
              </w:rPr>
            </w:pPr>
            <w:r>
              <w:rPr>
                <w:i/>
                <w:color w:val="0000FF"/>
                <w:sz w:val="20"/>
                <w:szCs w:val="20"/>
              </w:rPr>
              <w:t>Eryn Boone, Mike Edgington, Christina Hendrickson</w:t>
            </w:r>
          </w:p>
        </w:tc>
      </w:tr>
      <w:tr w:rsidR="00B346AF" w:rsidTr="0096083B">
        <w:tc>
          <w:tcPr>
            <w:tcW w:w="3060" w:type="dxa"/>
            <w:tcBorders>
              <w:top w:val="nil"/>
              <w:left w:val="nil"/>
              <w:bottom w:val="nil"/>
              <w:right w:val="nil"/>
            </w:tcBorders>
          </w:tcPr>
          <w:p w:rsidR="00B346AF" w:rsidRDefault="00B346AF" w:rsidP="0096083B">
            <w:pPr>
              <w:keepLines/>
              <w:tabs>
                <w:tab w:val="left" w:pos="2160"/>
              </w:tabs>
              <w:spacing w:line="160" w:lineRule="atLeast"/>
              <w:ind w:left="360" w:hanging="360"/>
              <w:rPr>
                <w:b/>
                <w:i/>
                <w:color w:val="0000FF"/>
              </w:rPr>
            </w:pPr>
            <w:r>
              <w:rPr>
                <w:b/>
                <w:i/>
                <w:color w:val="0000FF"/>
              </w:rPr>
              <w:t>Ethan Berkowitz, Mayor</w:t>
            </w:r>
          </w:p>
        </w:tc>
        <w:tc>
          <w:tcPr>
            <w:tcW w:w="2856" w:type="dxa"/>
            <w:tcBorders>
              <w:top w:val="nil"/>
              <w:left w:val="nil"/>
              <w:bottom w:val="nil"/>
              <w:right w:val="nil"/>
            </w:tcBorders>
          </w:tcPr>
          <w:p w:rsidR="00B346AF" w:rsidRDefault="00B346AF" w:rsidP="0096083B">
            <w:pPr>
              <w:keepLines/>
              <w:tabs>
                <w:tab w:val="left" w:pos="2160"/>
              </w:tabs>
              <w:spacing w:line="160" w:lineRule="atLeast"/>
              <w:rPr>
                <w:i/>
                <w:color w:val="0000FF"/>
              </w:rPr>
            </w:pPr>
          </w:p>
        </w:tc>
        <w:tc>
          <w:tcPr>
            <w:tcW w:w="3624" w:type="dxa"/>
            <w:gridSpan w:val="2"/>
            <w:tcBorders>
              <w:top w:val="nil"/>
              <w:left w:val="nil"/>
              <w:bottom w:val="nil"/>
              <w:right w:val="nil"/>
            </w:tcBorders>
          </w:tcPr>
          <w:p w:rsidR="00B346AF" w:rsidRDefault="00B346AF" w:rsidP="0096083B">
            <w:pPr>
              <w:keepLines/>
              <w:tabs>
                <w:tab w:val="left" w:pos="2160"/>
              </w:tabs>
              <w:spacing w:line="160" w:lineRule="atLeast"/>
              <w:rPr>
                <w:i/>
                <w:color w:val="0000FF"/>
              </w:rPr>
            </w:pPr>
          </w:p>
        </w:tc>
      </w:tr>
    </w:tbl>
    <w:p w:rsidR="009B0C2C" w:rsidRDefault="009B0C2C" w:rsidP="00B346AF">
      <w:pPr>
        <w:jc w:val="center"/>
      </w:pPr>
      <w:r w:rsidRPr="00B346AF">
        <w:rPr>
          <w:b/>
          <w:sz w:val="32"/>
          <w:szCs w:val="32"/>
        </w:rPr>
        <w:t xml:space="preserve">Procedure </w:t>
      </w:r>
      <w:r w:rsidR="00335069" w:rsidRPr="00B346AF">
        <w:rPr>
          <w:b/>
          <w:sz w:val="32"/>
          <w:szCs w:val="32"/>
        </w:rPr>
        <w:t xml:space="preserve">for considering </w:t>
      </w:r>
      <w:bookmarkStart w:id="0" w:name="_GoBack"/>
      <w:bookmarkEnd w:id="0"/>
      <w:r w:rsidR="00335069" w:rsidRPr="00B346AF">
        <w:rPr>
          <w:b/>
          <w:sz w:val="32"/>
          <w:szCs w:val="32"/>
        </w:rPr>
        <w:t>Out of Area Requests</w:t>
      </w:r>
      <w:r w:rsidR="00057FD3" w:rsidRPr="00B346AF">
        <w:rPr>
          <w:b/>
          <w:sz w:val="32"/>
          <w:szCs w:val="32"/>
        </w:rPr>
        <w:t xml:space="preserve"> for hearing and action</w:t>
      </w:r>
      <w:r w:rsidR="00335069">
        <w:br/>
      </w:r>
      <w:r w:rsidR="00335069">
        <w:br/>
        <w:t>Introduction &amp; Overview:</w:t>
      </w:r>
    </w:p>
    <w:p w:rsidR="00335069" w:rsidRDefault="00335069">
      <w:r>
        <w:t xml:space="preserve">Anchorage Municipal Code 2.40.030.E:  The municipality recognizes the Girdwood Board of Supervisors as the community council ex-officio, which serves the Girdwood Community Association/Land Use Committee boundary area depicted on Map 10 located in section 2.40.090.  </w:t>
      </w:r>
      <w:r>
        <w:br/>
      </w:r>
      <w:r>
        <w:br/>
        <w:t>Occasionally there are r</w:t>
      </w:r>
      <w:r w:rsidR="009B0C2C">
        <w:t>equests for action not related to G</w:t>
      </w:r>
      <w:r>
        <w:t xml:space="preserve">irdwood </w:t>
      </w:r>
      <w:r w:rsidR="009B0C2C">
        <w:t>V</w:t>
      </w:r>
      <w:r>
        <w:t xml:space="preserve">alley </w:t>
      </w:r>
      <w:r w:rsidR="009B0C2C">
        <w:t>S</w:t>
      </w:r>
      <w:r>
        <w:t xml:space="preserve">ervice </w:t>
      </w:r>
      <w:r w:rsidR="009B0C2C">
        <w:t>A</w:t>
      </w:r>
      <w:r>
        <w:t>rea</w:t>
      </w:r>
      <w:r w:rsidR="009B0C2C">
        <w:t xml:space="preserve"> budget items of: parks and recreation, roads, cemetery, public safety and fire department</w:t>
      </w:r>
      <w:r w:rsidR="00E545A1">
        <w:t xml:space="preserve"> and/or pertaining to items originating </w:t>
      </w:r>
      <w:r>
        <w:t xml:space="preserve">outside of the Girdwood Valley.  These items must be represented a community sponsor*; </w:t>
      </w:r>
      <w:r w:rsidR="00057FD3">
        <w:t xml:space="preserve">action is </w:t>
      </w:r>
      <w:r>
        <w:t>voted on at Land Use Committee</w:t>
      </w:r>
      <w:r w:rsidR="00057FD3">
        <w:t xml:space="preserve"> (LUC)</w:t>
      </w:r>
      <w:r>
        <w:t>,</w:t>
      </w:r>
      <w:r w:rsidR="00057FD3">
        <w:t xml:space="preserve"> and</w:t>
      </w:r>
      <w:r>
        <w:t xml:space="preserve"> passed to the Girdwood Board of Supervisors</w:t>
      </w:r>
      <w:r w:rsidR="00057FD3">
        <w:t xml:space="preserve"> (GBOS)</w:t>
      </w:r>
      <w:r>
        <w:t xml:space="preserve"> for further consideration and action.</w:t>
      </w:r>
      <w:r w:rsidR="00057FD3">
        <w:t xml:space="preserve">  This process typically requires two months (four meetings) and a majority vote of both LUC and GBOS to complete.</w:t>
      </w:r>
    </w:p>
    <w:p w:rsidR="00335069" w:rsidRDefault="00335069">
      <w:r>
        <w:t>Process:</w:t>
      </w:r>
    </w:p>
    <w:p w:rsidR="00E545A1" w:rsidRDefault="009B0C2C">
      <w:r>
        <w:t xml:space="preserve">Petitioner must determine if they are seeking group action from </w:t>
      </w:r>
      <w:r w:rsidR="00335069">
        <w:t>LUC</w:t>
      </w:r>
      <w:r w:rsidR="00057FD3">
        <w:t>/</w:t>
      </w:r>
      <w:r w:rsidR="00335069">
        <w:t>GBOS</w:t>
      </w:r>
      <w:r>
        <w:t xml:space="preserve"> or if they are seeking action by individuals in th</w:t>
      </w:r>
      <w:r w:rsidR="00057FD3">
        <w:t xml:space="preserve">e area.  </w:t>
      </w:r>
      <w:r>
        <w:t>If individual action is requested, the petitioner should speak under Public Comment at the Girdwood Public Meetings</w:t>
      </w:r>
      <w:r w:rsidR="00335069">
        <w:t xml:space="preserve"> requesting that individuals take action</w:t>
      </w:r>
      <w:r>
        <w:t>.  Public comment is limited to 3 minutes</w:t>
      </w:r>
      <w:r w:rsidR="001B3F5C">
        <w:t xml:space="preserve">.  </w:t>
      </w:r>
      <w:r w:rsidR="001B3F5C">
        <w:br/>
      </w:r>
      <w:r>
        <w:br/>
      </w:r>
      <w:r w:rsidR="001B3F5C">
        <w:t xml:space="preserve">If </w:t>
      </w:r>
      <w:r w:rsidR="00335069">
        <w:t xml:space="preserve">action from the LUC/GBOS </w:t>
      </w:r>
      <w:r w:rsidR="001B3F5C">
        <w:t>is requested, t</w:t>
      </w:r>
      <w:r>
        <w:t xml:space="preserve">he item </w:t>
      </w:r>
      <w:r w:rsidR="001B3F5C">
        <w:t>will follow LUC/GBOS procedure</w:t>
      </w:r>
      <w:r w:rsidR="00057FD3">
        <w:t>s</w:t>
      </w:r>
      <w:proofErr w:type="gramStart"/>
      <w:r w:rsidR="00057FD3">
        <w:t>:</w:t>
      </w:r>
      <w:proofErr w:type="gramEnd"/>
      <w:r w:rsidR="00057FD3">
        <w:br/>
        <w:t>A.</w:t>
      </w:r>
      <w:r w:rsidR="00057FD3">
        <w:tab/>
        <w:t>I</w:t>
      </w:r>
      <w:r w:rsidR="001B3F5C">
        <w:t xml:space="preserve">ntroduction at LUC and GBOS as </w:t>
      </w:r>
      <w:r w:rsidR="00057FD3">
        <w:t>N</w:t>
      </w:r>
      <w:r w:rsidR="001B3F5C">
        <w:t xml:space="preserve">ew </w:t>
      </w:r>
      <w:r w:rsidR="00057FD3">
        <w:t>B</w:t>
      </w:r>
      <w:r w:rsidR="001B3F5C">
        <w:t xml:space="preserve">usiness </w:t>
      </w:r>
      <w:r w:rsidR="00057FD3">
        <w:br/>
      </w:r>
      <w:r w:rsidR="001B3F5C">
        <w:t>Item will</w:t>
      </w:r>
      <w:r>
        <w:t xml:space="preserve"> be brought to the LUC and GBOS as New Business for introduction.  This introduction should not last more than 5 minutes, plus Questions/Answer period.  If the item does not have a community sponsor*, the petitioner must find one before it can be brought back to LUC and GBOS as Old Business for a potential vote.</w:t>
      </w:r>
      <w:r>
        <w:br/>
      </w:r>
      <w:r w:rsidR="00057FD3">
        <w:t xml:space="preserve">B. </w:t>
      </w:r>
      <w:r w:rsidR="00057FD3">
        <w:tab/>
        <w:t>Hearing at LUC and GBOS as Old Business</w:t>
      </w:r>
      <w:r w:rsidR="00057FD3">
        <w:br/>
        <w:t xml:space="preserve">After one month, </w:t>
      </w:r>
      <w:r w:rsidR="001B3F5C">
        <w:t>i</w:t>
      </w:r>
      <w:r w:rsidR="00E545A1">
        <w:t>tems with a c</w:t>
      </w:r>
      <w:r>
        <w:t>ommunity sponsor</w:t>
      </w:r>
      <w:r w:rsidR="001B3F5C">
        <w:t xml:space="preserve"> can</w:t>
      </w:r>
      <w:r w:rsidR="00E545A1">
        <w:t xml:space="preserve"> come </w:t>
      </w:r>
      <w:r>
        <w:t>back for hearing and review by the LUC and GBOS</w:t>
      </w:r>
      <w:r w:rsidR="00E545A1">
        <w:t xml:space="preserve"> to request action</w:t>
      </w:r>
      <w:r w:rsidR="001B3F5C">
        <w:t xml:space="preserve"> as Old Business</w:t>
      </w:r>
      <w:r w:rsidR="00E545A1">
        <w:t>.</w:t>
      </w:r>
      <w:r w:rsidR="00E545A1" w:rsidRPr="00E545A1">
        <w:t xml:space="preserve"> </w:t>
      </w:r>
      <w:r w:rsidR="00E545A1">
        <w:t xml:space="preserve">At least one week prior to the LUC meeting, the community </w:t>
      </w:r>
      <w:r w:rsidR="00E545A1">
        <w:lastRenderedPageBreak/>
        <w:t>sponsor must provide draft language of the Resolution of Support.  LUC will hear the topic and will vote whether or not to recommend action by the GBOS.  If LUC votes in favor of the action, the draft resolution language will be reviewed by a member of the GBOS and the community sponsor to create a final draft.  At the GBOS Old Business hearing, the topic will be discussed, including the recommendation of the LUC and proposed final language.</w:t>
      </w:r>
      <w:r w:rsidR="001B3F5C">
        <w:br/>
      </w:r>
      <w:r w:rsidR="00057FD3">
        <w:br/>
        <w:t xml:space="preserve">In the event that LUC and </w:t>
      </w:r>
      <w:r w:rsidR="00E545A1">
        <w:t>GBOS disagree on the outcome, a special meeting to resolve their differences will be called</w:t>
      </w:r>
      <w:r w:rsidR="00184B16">
        <w:t>, as outlined in the GBOS Rules and Procedures and LUC Operating Principles</w:t>
      </w:r>
      <w:r w:rsidR="00E545A1">
        <w:t>.</w:t>
      </w:r>
    </w:p>
    <w:p w:rsidR="00184B16" w:rsidRDefault="009B0C2C" w:rsidP="00184B16">
      <w:pPr>
        <w:pStyle w:val="PlainText"/>
        <w:outlineLvl w:val="0"/>
        <w:rPr>
          <w:rFonts w:asciiTheme="minorHAnsi" w:hAnsiTheme="minorHAnsi" w:cs="Arial"/>
          <w:sz w:val="18"/>
          <w:szCs w:val="18"/>
        </w:rPr>
      </w:pPr>
      <w:r w:rsidRPr="00057FD3">
        <w:rPr>
          <w:rFonts w:asciiTheme="minorHAnsi" w:hAnsiTheme="minorHAnsi"/>
          <w:sz w:val="18"/>
          <w:szCs w:val="18"/>
        </w:rPr>
        <w:t>*</w:t>
      </w:r>
      <w:r w:rsidR="00057FD3" w:rsidRPr="00057FD3">
        <w:rPr>
          <w:rFonts w:asciiTheme="minorHAnsi" w:hAnsiTheme="minorHAnsi"/>
          <w:sz w:val="18"/>
          <w:szCs w:val="18"/>
          <w:lang w:val="en-US"/>
        </w:rPr>
        <w:t xml:space="preserve">A </w:t>
      </w:r>
      <w:r w:rsidRPr="00057FD3">
        <w:rPr>
          <w:rFonts w:asciiTheme="minorHAnsi" w:hAnsiTheme="minorHAnsi"/>
          <w:sz w:val="18"/>
          <w:szCs w:val="18"/>
        </w:rPr>
        <w:t>community sponsor is any member in the community who meets the requirements as a voting member of the Girdwood Land Use Committee.</w:t>
      </w:r>
      <w:r w:rsidR="00184B16" w:rsidRPr="00057FD3">
        <w:rPr>
          <w:rFonts w:asciiTheme="minorHAnsi" w:hAnsiTheme="minorHAnsi"/>
          <w:sz w:val="18"/>
          <w:szCs w:val="18"/>
        </w:rPr>
        <w:t xml:space="preserve"> </w:t>
      </w:r>
      <w:r w:rsidR="00184B16" w:rsidRPr="00057FD3">
        <w:rPr>
          <w:rFonts w:asciiTheme="minorHAnsi" w:hAnsiTheme="minorHAnsi" w:cs="Arial"/>
          <w:color w:val="000000"/>
          <w:sz w:val="18"/>
          <w:szCs w:val="18"/>
        </w:rPr>
        <w:t xml:space="preserve"> A voting member is </w:t>
      </w:r>
      <w:r w:rsidR="00184B16" w:rsidRPr="00057FD3">
        <w:rPr>
          <w:rFonts w:asciiTheme="minorHAnsi" w:hAnsiTheme="minorHAnsi" w:cs="Arial"/>
          <w:sz w:val="18"/>
          <w:szCs w:val="18"/>
        </w:rPr>
        <w:t>any person eighteen (18) years of age or older who has been a resident and/or property owner, business owner or designated representative of a non-profit association who has resided in, owned property in, owned a business located in, or operated as a non-profit association for ninety (90) days or longer in Girdwood Valley.</w:t>
      </w:r>
    </w:p>
    <w:p w:rsidR="00B346AF" w:rsidRDefault="00B346AF" w:rsidP="00184B16">
      <w:pPr>
        <w:pStyle w:val="PlainText"/>
        <w:outlineLvl w:val="0"/>
        <w:rPr>
          <w:rFonts w:asciiTheme="minorHAnsi" w:hAnsiTheme="minorHAnsi" w:cs="Arial"/>
          <w:sz w:val="18"/>
          <w:szCs w:val="18"/>
        </w:rPr>
      </w:pPr>
    </w:p>
    <w:p w:rsidR="00B346AF" w:rsidRPr="00B346AF" w:rsidRDefault="00B346AF" w:rsidP="00184B16">
      <w:pPr>
        <w:pStyle w:val="PlainText"/>
        <w:outlineLvl w:val="0"/>
        <w:rPr>
          <w:rFonts w:asciiTheme="minorHAnsi" w:hAnsiTheme="minorHAnsi" w:cs="Arial"/>
          <w:sz w:val="18"/>
          <w:szCs w:val="18"/>
          <w:lang w:val="en-US"/>
        </w:rPr>
      </w:pPr>
      <w:r>
        <w:rPr>
          <w:rFonts w:asciiTheme="minorHAnsi" w:hAnsiTheme="minorHAnsi" w:cs="Arial"/>
          <w:sz w:val="18"/>
          <w:szCs w:val="18"/>
          <w:lang w:val="en-US"/>
        </w:rPr>
        <w:t>Approved by the LUC March 11, 2019</w:t>
      </w:r>
      <w:r>
        <w:rPr>
          <w:rFonts w:asciiTheme="minorHAnsi" w:hAnsiTheme="minorHAnsi" w:cs="Arial"/>
          <w:sz w:val="18"/>
          <w:szCs w:val="18"/>
          <w:lang w:val="en-US"/>
        </w:rPr>
        <w:br/>
        <w:t>Approved by the GBOS March 18, 2019</w:t>
      </w:r>
    </w:p>
    <w:sectPr w:rsidR="00B346AF" w:rsidRPr="00B3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C"/>
    <w:rsid w:val="00057FD3"/>
    <w:rsid w:val="00184B16"/>
    <w:rsid w:val="001B3F5C"/>
    <w:rsid w:val="00246E49"/>
    <w:rsid w:val="00335069"/>
    <w:rsid w:val="009B0C2C"/>
    <w:rsid w:val="00B346AF"/>
    <w:rsid w:val="00E5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B137B-1CB7-4EEB-BBDD-5AE7C637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346AF"/>
    <w:pPr>
      <w:keepNext/>
      <w:keepLines/>
      <w:widowControl w:val="0"/>
      <w:tabs>
        <w:tab w:val="left" w:pos="2160"/>
      </w:tabs>
      <w:autoSpaceDE w:val="0"/>
      <w:autoSpaceDN w:val="0"/>
      <w:adjustRightInd w:val="0"/>
      <w:spacing w:after="0" w:line="160" w:lineRule="atLeast"/>
      <w:jc w:val="right"/>
      <w:outlineLvl w:val="4"/>
    </w:pPr>
    <w:rPr>
      <w:rFonts w:ascii="Garamond" w:eastAsia="Times New Roman" w:hAnsi="Garamond" w:cs="Times New Roman"/>
      <w:b/>
      <w:bCs/>
      <w:color w:val="0000FF"/>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184B16"/>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semiHidden/>
    <w:rsid w:val="00184B16"/>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057FD3"/>
    <w:pPr>
      <w:ind w:left="720"/>
      <w:contextualSpacing/>
    </w:pPr>
  </w:style>
  <w:style w:type="character" w:customStyle="1" w:styleId="Heading5Char">
    <w:name w:val="Heading 5 Char"/>
    <w:basedOn w:val="DefaultParagraphFont"/>
    <w:link w:val="Heading5"/>
    <w:rsid w:val="00B346AF"/>
    <w:rPr>
      <w:rFonts w:ascii="Garamond" w:eastAsia="Times New Roman" w:hAnsi="Garamond" w:cs="Times New Roman"/>
      <w:b/>
      <w:bCs/>
      <w:color w:val="0000FF"/>
      <w:sz w:val="52"/>
      <w:szCs w:val="52"/>
    </w:rPr>
  </w:style>
  <w:style w:type="character" w:styleId="Hyperlink">
    <w:name w:val="Hyperlink"/>
    <w:rsid w:val="00B34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ni.org/gbos"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2AC8B-9F16-4CFC-8E52-6C64F0F79BBD}"/>
</file>

<file path=customXml/itemProps2.xml><?xml version="1.0" encoding="utf-8"?>
<ds:datastoreItem xmlns:ds="http://schemas.openxmlformats.org/officeDocument/2006/customXml" ds:itemID="{891D36E5-4967-47E5-AB8C-5E8D2F9EDB9E}"/>
</file>

<file path=customXml/itemProps3.xml><?xml version="1.0" encoding="utf-8"?>
<ds:datastoreItem xmlns:ds="http://schemas.openxmlformats.org/officeDocument/2006/customXml" ds:itemID="{0293315D-47B0-404E-8FBE-0D97A18D7590}"/>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2</cp:revision>
  <dcterms:created xsi:type="dcterms:W3CDTF">2019-03-19T19:20:00Z</dcterms:created>
  <dcterms:modified xsi:type="dcterms:W3CDTF">2019-03-19T19:20:00Z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