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7AC2" w14:textId="4966DABC" w:rsidR="00E332C8" w:rsidRPr="0008646B" w:rsidRDefault="00E332C8">
      <w:pPr>
        <w:rPr>
          <w:b/>
          <w:bCs/>
          <w:sz w:val="24"/>
          <w:szCs w:val="24"/>
        </w:rPr>
      </w:pPr>
      <w:r w:rsidRPr="0008646B">
        <w:rPr>
          <w:b/>
          <w:bCs/>
          <w:sz w:val="24"/>
          <w:szCs w:val="24"/>
        </w:rPr>
        <w:t>Revenue Summary Highlights* from MOA Treasury</w:t>
      </w:r>
    </w:p>
    <w:p w14:paraId="29BBFBE7" w14:textId="0FE997C0" w:rsidR="0008646B" w:rsidRPr="0008646B" w:rsidRDefault="00E332C8">
      <w:pPr>
        <w:rPr>
          <w:sz w:val="18"/>
          <w:szCs w:val="18"/>
        </w:rPr>
      </w:pPr>
      <w:r w:rsidRPr="0008646B">
        <w:rPr>
          <w:sz w:val="18"/>
          <w:szCs w:val="18"/>
        </w:rPr>
        <w:t>*</w:t>
      </w:r>
      <w:proofErr w:type="gramStart"/>
      <w:r w:rsidR="009F71BB">
        <w:rPr>
          <w:sz w:val="18"/>
          <w:szCs w:val="18"/>
        </w:rPr>
        <w:t>per</w:t>
      </w:r>
      <w:proofErr w:type="gramEnd"/>
      <w:r w:rsidR="009A139C">
        <w:rPr>
          <w:sz w:val="18"/>
          <w:szCs w:val="18"/>
        </w:rPr>
        <w:t xml:space="preserve"> </w:t>
      </w:r>
      <w:r w:rsidRPr="0008646B">
        <w:rPr>
          <w:sz w:val="18"/>
          <w:szCs w:val="18"/>
        </w:rPr>
        <w:t xml:space="preserve">SAP extract report generated </w:t>
      </w:r>
      <w:r w:rsidR="00D530DD">
        <w:rPr>
          <w:sz w:val="18"/>
          <w:szCs w:val="18"/>
        </w:rPr>
        <w:t xml:space="preserve">as of </w:t>
      </w:r>
      <w:r w:rsidR="00E44B48">
        <w:rPr>
          <w:sz w:val="18"/>
          <w:szCs w:val="18"/>
        </w:rPr>
        <w:t>7/1</w:t>
      </w:r>
      <w:r w:rsidR="00DB4FCE">
        <w:rPr>
          <w:sz w:val="18"/>
          <w:szCs w:val="18"/>
        </w:rPr>
        <w:t>9</w:t>
      </w:r>
      <w:r w:rsidR="00E44B48">
        <w:rPr>
          <w:sz w:val="18"/>
          <w:szCs w:val="18"/>
        </w:rPr>
        <w:t>/2023</w:t>
      </w:r>
      <w:r w:rsidRPr="0008646B">
        <w:rPr>
          <w:sz w:val="18"/>
          <w:szCs w:val="18"/>
        </w:rPr>
        <w:t>; revenue highlights include all 100 Fund Gen’l Gov’t Operating Budget Revenues, plus</w:t>
      </w:r>
      <w:r w:rsidR="00F35941">
        <w:rPr>
          <w:sz w:val="18"/>
          <w:szCs w:val="18"/>
        </w:rPr>
        <w:t xml:space="preserve"> full amount of room tax (all funds) as well as </w:t>
      </w:r>
      <w:r w:rsidRPr="0008646B">
        <w:rPr>
          <w:sz w:val="18"/>
          <w:szCs w:val="18"/>
        </w:rPr>
        <w:t>information re: separate fund revenues for Building Safety Fund and Alcohol Tax Fund</w:t>
      </w:r>
    </w:p>
    <w:p w14:paraId="7DB071A8" w14:textId="288E24C6" w:rsidR="003A3F30" w:rsidRPr="006A2460" w:rsidRDefault="003A3F30" w:rsidP="003A3F30">
      <w:pPr>
        <w:rPr>
          <w:b/>
          <w:bCs/>
          <w:u w:val="single"/>
        </w:rPr>
      </w:pPr>
      <w:proofErr w:type="gramStart"/>
      <w:r w:rsidRPr="006A2460">
        <w:rPr>
          <w:b/>
          <w:bCs/>
          <w:u w:val="single"/>
        </w:rPr>
        <w:t>Overall</w:t>
      </w:r>
      <w:proofErr w:type="gramEnd"/>
      <w:r w:rsidRPr="006A2460">
        <w:rPr>
          <w:b/>
          <w:bCs/>
          <w:u w:val="single"/>
        </w:rPr>
        <w:t xml:space="preserve"> 202</w:t>
      </w:r>
      <w:r w:rsidR="004F38FA">
        <w:rPr>
          <w:b/>
          <w:bCs/>
          <w:u w:val="single"/>
        </w:rPr>
        <w:t>3</w:t>
      </w:r>
      <w:r w:rsidRPr="006A2460">
        <w:rPr>
          <w:b/>
          <w:bCs/>
          <w:u w:val="single"/>
        </w:rPr>
        <w:t xml:space="preserve"> YTD Revenue Realization</w:t>
      </w:r>
    </w:p>
    <w:p w14:paraId="7505324A" w14:textId="08099BE1" w:rsidR="003A3F30" w:rsidRDefault="003A3F30" w:rsidP="003A3F30">
      <w:pPr>
        <w:pStyle w:val="ListParagraph"/>
        <w:numPr>
          <w:ilvl w:val="0"/>
          <w:numId w:val="1"/>
        </w:numPr>
      </w:pPr>
      <w:r>
        <w:t>202</w:t>
      </w:r>
      <w:r w:rsidR="004F38FA">
        <w:t>3</w:t>
      </w:r>
      <w:r>
        <w:t xml:space="preserve"> Total Budgeted Revenues: </w:t>
      </w:r>
      <w:r w:rsidRPr="008D756F">
        <w:t>$</w:t>
      </w:r>
      <w:r w:rsidR="004350BA">
        <w:t>80</w:t>
      </w:r>
      <w:r w:rsidR="004F38FA">
        <w:t>7.2</w:t>
      </w:r>
      <w:r w:rsidRPr="008D756F">
        <w:t>M</w:t>
      </w:r>
      <w:r w:rsidRPr="003A3F30">
        <w:t xml:space="preserve"> </w:t>
      </w:r>
      <w:r>
        <w:t>(incl. ASD)</w:t>
      </w:r>
      <w:r w:rsidR="00475CC5">
        <w:t xml:space="preserve"> </w:t>
      </w:r>
    </w:p>
    <w:p w14:paraId="63672F40" w14:textId="3BA55254" w:rsidR="003A3F30" w:rsidRPr="00587937" w:rsidRDefault="003A3F30" w:rsidP="003A3F30">
      <w:pPr>
        <w:pStyle w:val="ListParagraph"/>
        <w:numPr>
          <w:ilvl w:val="0"/>
          <w:numId w:val="1"/>
        </w:numPr>
      </w:pPr>
      <w:r w:rsidRPr="00587937">
        <w:t>202</w:t>
      </w:r>
      <w:r w:rsidR="004F38FA">
        <w:t>3</w:t>
      </w:r>
      <w:r w:rsidRPr="00587937">
        <w:t xml:space="preserve"> YTD Actual Revenues posted in SAP: $</w:t>
      </w:r>
      <w:r w:rsidR="00E44B48">
        <w:t>59</w:t>
      </w:r>
      <w:r w:rsidR="00DB4FCE">
        <w:t>9</w:t>
      </w:r>
      <w:r w:rsidR="00E44B48">
        <w:t>.</w:t>
      </w:r>
      <w:r w:rsidR="00DB4FCE">
        <w:t>6</w:t>
      </w:r>
      <w:r w:rsidRPr="00587937">
        <w:t>M</w:t>
      </w:r>
    </w:p>
    <w:p w14:paraId="58F11806" w14:textId="488F1AE8" w:rsidR="00230350" w:rsidRDefault="003A3F30" w:rsidP="00230350">
      <w:pPr>
        <w:pStyle w:val="ListParagraph"/>
        <w:numPr>
          <w:ilvl w:val="0"/>
          <w:numId w:val="1"/>
        </w:numPr>
      </w:pPr>
      <w:r w:rsidRPr="00587937">
        <w:t>202</w:t>
      </w:r>
      <w:r w:rsidR="004F38FA">
        <w:t>3</w:t>
      </w:r>
      <w:r w:rsidRPr="00587937">
        <w:t xml:space="preserve"> YTD Revenue Realization: </w:t>
      </w:r>
      <w:r w:rsidR="00E44B48">
        <w:t>74.</w:t>
      </w:r>
      <w:r w:rsidR="00DB4FCE">
        <w:t>3</w:t>
      </w:r>
      <w:r w:rsidRPr="00587937">
        <w:t>%</w:t>
      </w:r>
    </w:p>
    <w:p w14:paraId="474620E7" w14:textId="0A14F3E1" w:rsidR="000E3620" w:rsidRDefault="000E3620" w:rsidP="004F38FA">
      <w:pPr>
        <w:pStyle w:val="ListParagraph"/>
        <w:numPr>
          <w:ilvl w:val="0"/>
          <w:numId w:val="1"/>
        </w:numPr>
        <w:rPr>
          <w:b/>
          <w:bCs/>
          <w:u w:val="single"/>
        </w:rPr>
      </w:pPr>
      <w:r w:rsidRPr="00B42A3F">
        <w:rPr>
          <w:b/>
          <w:bCs/>
          <w:u w:val="single"/>
        </w:rPr>
        <w:t>P</w:t>
      </w:r>
      <w:r w:rsidR="00C94EF7">
        <w:rPr>
          <w:b/>
          <w:bCs/>
          <w:u w:val="single"/>
        </w:rPr>
        <w:t>osted revenue insufficient to estimate</w:t>
      </w:r>
      <w:r w:rsidRPr="00B42A3F">
        <w:rPr>
          <w:b/>
          <w:bCs/>
          <w:u w:val="single"/>
        </w:rPr>
        <w:t xml:space="preserve"> </w:t>
      </w:r>
      <w:r w:rsidR="00C94EF7">
        <w:rPr>
          <w:b/>
          <w:bCs/>
          <w:u w:val="single"/>
        </w:rPr>
        <w:t>year end</w:t>
      </w:r>
      <w:r w:rsidRPr="00B42A3F">
        <w:rPr>
          <w:b/>
          <w:bCs/>
          <w:u w:val="single"/>
        </w:rPr>
        <w:t xml:space="preserve"> revenue variance </w:t>
      </w:r>
    </w:p>
    <w:p w14:paraId="5021A859" w14:textId="3CBA09D9" w:rsidR="006A2460" w:rsidRDefault="006A2460" w:rsidP="006A2460">
      <w:pPr>
        <w:rPr>
          <w:b/>
          <w:bCs/>
          <w:u w:val="single"/>
        </w:rPr>
      </w:pPr>
      <w:r w:rsidRPr="006A2460">
        <w:rPr>
          <w:b/>
          <w:bCs/>
          <w:u w:val="single"/>
        </w:rPr>
        <w:t>Highlights of Select Major Revenues: Outlook or Trend</w:t>
      </w:r>
      <w:r w:rsidR="000E3620">
        <w:rPr>
          <w:b/>
          <w:bCs/>
          <w:u w:val="single"/>
        </w:rPr>
        <w:t xml:space="preserve"> (as of </w:t>
      </w:r>
      <w:r w:rsidR="00E44B48">
        <w:rPr>
          <w:b/>
          <w:bCs/>
          <w:u w:val="single"/>
        </w:rPr>
        <w:t>7/1</w:t>
      </w:r>
      <w:r w:rsidR="00DB4FCE">
        <w:rPr>
          <w:b/>
          <w:bCs/>
          <w:u w:val="single"/>
        </w:rPr>
        <w:t>9</w:t>
      </w:r>
      <w:r w:rsidR="00E44B48">
        <w:rPr>
          <w:b/>
          <w:bCs/>
          <w:u w:val="single"/>
        </w:rPr>
        <w:t>/2023</w:t>
      </w:r>
      <w:r w:rsidR="000E3620">
        <w:rPr>
          <w:b/>
          <w:bCs/>
          <w:u w:val="single"/>
        </w:rPr>
        <w:t>)</w:t>
      </w:r>
    </w:p>
    <w:p w14:paraId="3804E3E9" w14:textId="2EA8448D" w:rsidR="006A2460" w:rsidRDefault="006A2460" w:rsidP="006A2460">
      <w:pPr>
        <w:rPr>
          <w:b/>
          <w:bCs/>
          <w:u w:val="single"/>
        </w:rPr>
      </w:pPr>
    </w:p>
    <w:tbl>
      <w:tblPr>
        <w:tblStyle w:val="TableGrid"/>
        <w:tblW w:w="11169" w:type="dxa"/>
        <w:tblInd w:w="-995" w:type="dxa"/>
        <w:tblLook w:val="04A0" w:firstRow="1" w:lastRow="0" w:firstColumn="1" w:lastColumn="0" w:noHBand="0" w:noVBand="1"/>
      </w:tblPr>
      <w:tblGrid>
        <w:gridCol w:w="1515"/>
        <w:gridCol w:w="1060"/>
        <w:gridCol w:w="1101"/>
        <w:gridCol w:w="1263"/>
        <w:gridCol w:w="1230"/>
        <w:gridCol w:w="1637"/>
        <w:gridCol w:w="1810"/>
        <w:gridCol w:w="1553"/>
      </w:tblGrid>
      <w:tr w:rsidR="00AB52EA" w:rsidRPr="00A37031" w14:paraId="3B6BFED4" w14:textId="77777777" w:rsidTr="00025029">
        <w:trPr>
          <w:tblHeader/>
        </w:trPr>
        <w:tc>
          <w:tcPr>
            <w:tcW w:w="1515" w:type="dxa"/>
          </w:tcPr>
          <w:p w14:paraId="2A37DB23" w14:textId="514E1ACF" w:rsidR="00D530DD" w:rsidRPr="00A37031" w:rsidRDefault="00D530DD" w:rsidP="006A2460">
            <w:pPr>
              <w:rPr>
                <w:b/>
                <w:bCs/>
              </w:rPr>
            </w:pPr>
          </w:p>
        </w:tc>
        <w:tc>
          <w:tcPr>
            <w:tcW w:w="1060" w:type="dxa"/>
          </w:tcPr>
          <w:p w14:paraId="0F906AA8" w14:textId="09A5AE7F" w:rsidR="00094B64" w:rsidRPr="00A37031" w:rsidRDefault="00094B64" w:rsidP="006A2460">
            <w:pPr>
              <w:rPr>
                <w:b/>
                <w:bCs/>
              </w:rPr>
            </w:pPr>
            <w:r w:rsidRPr="00A37031">
              <w:rPr>
                <w:b/>
                <w:bCs/>
              </w:rPr>
              <w:t>202</w:t>
            </w:r>
            <w:r w:rsidR="002575D1">
              <w:rPr>
                <w:b/>
                <w:bCs/>
              </w:rPr>
              <w:t>2</w:t>
            </w:r>
          </w:p>
          <w:p w14:paraId="46B29F6A" w14:textId="6DECE47D" w:rsidR="00094B64" w:rsidRPr="00A37031" w:rsidRDefault="00094B64" w:rsidP="006A2460">
            <w:pPr>
              <w:rPr>
                <w:b/>
                <w:bCs/>
              </w:rPr>
            </w:pPr>
            <w:r w:rsidRPr="00A37031">
              <w:rPr>
                <w:b/>
                <w:bCs/>
              </w:rPr>
              <w:t>Actual</w:t>
            </w:r>
          </w:p>
        </w:tc>
        <w:tc>
          <w:tcPr>
            <w:tcW w:w="1101" w:type="dxa"/>
          </w:tcPr>
          <w:p w14:paraId="3BDEA24F" w14:textId="63FB6E8E" w:rsidR="00094B64" w:rsidRPr="00A37031" w:rsidRDefault="00094B64" w:rsidP="006A2460">
            <w:pPr>
              <w:rPr>
                <w:b/>
                <w:bCs/>
              </w:rPr>
            </w:pPr>
            <w:r w:rsidRPr="00A37031">
              <w:rPr>
                <w:b/>
                <w:bCs/>
              </w:rPr>
              <w:t>202</w:t>
            </w:r>
            <w:r w:rsidR="002575D1">
              <w:rPr>
                <w:b/>
                <w:bCs/>
              </w:rPr>
              <w:t>3</w:t>
            </w:r>
            <w:r w:rsidRPr="00A37031">
              <w:rPr>
                <w:b/>
                <w:bCs/>
              </w:rPr>
              <w:t xml:space="preserve"> Budget</w:t>
            </w:r>
          </w:p>
        </w:tc>
        <w:tc>
          <w:tcPr>
            <w:tcW w:w="1263" w:type="dxa"/>
          </w:tcPr>
          <w:p w14:paraId="67058D4F" w14:textId="3E66AFF6" w:rsidR="00094B64" w:rsidRPr="00A37031" w:rsidRDefault="00094B64" w:rsidP="006A2460">
            <w:pPr>
              <w:rPr>
                <w:b/>
                <w:bCs/>
              </w:rPr>
            </w:pPr>
            <w:r w:rsidRPr="00A37031">
              <w:rPr>
                <w:b/>
                <w:bCs/>
              </w:rPr>
              <w:t>202</w:t>
            </w:r>
            <w:r w:rsidR="002575D1">
              <w:rPr>
                <w:b/>
                <w:bCs/>
              </w:rPr>
              <w:t>3</w:t>
            </w:r>
            <w:r w:rsidRPr="00A37031">
              <w:rPr>
                <w:b/>
                <w:bCs/>
              </w:rPr>
              <w:t xml:space="preserve"> YTD posted rev in SAP</w:t>
            </w:r>
          </w:p>
        </w:tc>
        <w:tc>
          <w:tcPr>
            <w:tcW w:w="1230" w:type="dxa"/>
          </w:tcPr>
          <w:p w14:paraId="5B0AFD05" w14:textId="3D48B79B" w:rsidR="00094B64" w:rsidRPr="00A37031" w:rsidRDefault="00094B64" w:rsidP="006A2460">
            <w:pPr>
              <w:rPr>
                <w:b/>
                <w:bCs/>
              </w:rPr>
            </w:pPr>
            <w:r w:rsidRPr="00A37031">
              <w:rPr>
                <w:b/>
                <w:bCs/>
              </w:rPr>
              <w:t>202</w:t>
            </w:r>
            <w:r w:rsidR="002575D1">
              <w:rPr>
                <w:b/>
                <w:bCs/>
              </w:rPr>
              <w:t>3</w:t>
            </w:r>
            <w:r w:rsidRPr="00A37031">
              <w:rPr>
                <w:b/>
                <w:bCs/>
              </w:rPr>
              <w:t xml:space="preserve"> YTD Realization</w:t>
            </w:r>
          </w:p>
        </w:tc>
        <w:tc>
          <w:tcPr>
            <w:tcW w:w="1637" w:type="dxa"/>
          </w:tcPr>
          <w:p w14:paraId="4F99832E" w14:textId="79808B3B" w:rsidR="00094B64" w:rsidRPr="00A37031" w:rsidRDefault="00094B64" w:rsidP="006A2460">
            <w:pPr>
              <w:rPr>
                <w:b/>
                <w:bCs/>
              </w:rPr>
            </w:pPr>
            <w:r w:rsidRPr="00A37031">
              <w:rPr>
                <w:b/>
                <w:bCs/>
              </w:rPr>
              <w:t xml:space="preserve">Baseline info for projection </w:t>
            </w:r>
          </w:p>
        </w:tc>
        <w:tc>
          <w:tcPr>
            <w:tcW w:w="1810" w:type="dxa"/>
          </w:tcPr>
          <w:p w14:paraId="4F4A57CC" w14:textId="0D02B332" w:rsidR="00094B64" w:rsidRPr="00A37031" w:rsidRDefault="00094B64" w:rsidP="006A2460">
            <w:pPr>
              <w:rPr>
                <w:b/>
                <w:bCs/>
              </w:rPr>
            </w:pPr>
            <w:r w:rsidRPr="00A37031">
              <w:rPr>
                <w:b/>
                <w:bCs/>
              </w:rPr>
              <w:t xml:space="preserve">Current </w:t>
            </w:r>
            <w:r w:rsidR="008C19CF">
              <w:rPr>
                <w:b/>
                <w:bCs/>
              </w:rPr>
              <w:t xml:space="preserve">Outlook or </w:t>
            </w:r>
            <w:r w:rsidRPr="00A37031">
              <w:rPr>
                <w:b/>
                <w:bCs/>
              </w:rPr>
              <w:t>Trend vs. Budget</w:t>
            </w:r>
          </w:p>
        </w:tc>
        <w:tc>
          <w:tcPr>
            <w:tcW w:w="1553" w:type="dxa"/>
          </w:tcPr>
          <w:p w14:paraId="72171003" w14:textId="0B6CD003" w:rsidR="00094B64" w:rsidRPr="00A37031" w:rsidRDefault="00094B64" w:rsidP="006A2460">
            <w:pPr>
              <w:rPr>
                <w:b/>
                <w:bCs/>
              </w:rPr>
            </w:pPr>
            <w:proofErr w:type="spellStart"/>
            <w:r w:rsidRPr="00A37031">
              <w:rPr>
                <w:b/>
                <w:bCs/>
              </w:rPr>
              <w:t>Addt’l</w:t>
            </w:r>
            <w:proofErr w:type="spellEnd"/>
            <w:r w:rsidRPr="00A37031">
              <w:rPr>
                <w:b/>
                <w:bCs/>
              </w:rPr>
              <w:t xml:space="preserve"> Comments</w:t>
            </w:r>
          </w:p>
        </w:tc>
      </w:tr>
      <w:tr w:rsidR="00AB52EA" w14:paraId="5B00F2AE" w14:textId="77777777" w:rsidTr="00025029">
        <w:tc>
          <w:tcPr>
            <w:tcW w:w="1515" w:type="dxa"/>
          </w:tcPr>
          <w:p w14:paraId="0AD0E18F" w14:textId="59037E04" w:rsidR="00AE4A9C" w:rsidRDefault="00AE4A9C" w:rsidP="00AE4A9C">
            <w:pPr>
              <w:rPr>
                <w:b/>
                <w:bCs/>
              </w:rPr>
            </w:pPr>
            <w:r>
              <w:rPr>
                <w:b/>
                <w:bCs/>
              </w:rPr>
              <w:t>202</w:t>
            </w:r>
            <w:r w:rsidR="00F35523">
              <w:rPr>
                <w:b/>
                <w:bCs/>
              </w:rPr>
              <w:t>3</w:t>
            </w:r>
            <w:r>
              <w:rPr>
                <w:b/>
                <w:bCs/>
              </w:rPr>
              <w:t xml:space="preserve"> PFD Garnishment Revenues </w:t>
            </w:r>
          </w:p>
          <w:p w14:paraId="496DCE5E" w14:textId="77777777" w:rsidR="00363646" w:rsidRDefault="00363646" w:rsidP="00AE4A9C">
            <w:pPr>
              <w:rPr>
                <w:b/>
                <w:bCs/>
              </w:rPr>
            </w:pPr>
          </w:p>
          <w:p w14:paraId="28844049" w14:textId="77FBF4F2" w:rsidR="00363646" w:rsidRDefault="00363646" w:rsidP="00AE4A9C">
            <w:pPr>
              <w:rPr>
                <w:b/>
                <w:bCs/>
                <w:sz w:val="16"/>
                <w:szCs w:val="16"/>
              </w:rPr>
            </w:pPr>
            <w:r>
              <w:rPr>
                <w:b/>
                <w:bCs/>
                <w:sz w:val="16"/>
                <w:szCs w:val="16"/>
              </w:rPr>
              <w:t>(</w:t>
            </w:r>
            <w:r w:rsidRPr="00363646">
              <w:rPr>
                <w:b/>
                <w:bCs/>
                <w:sz w:val="16"/>
                <w:szCs w:val="16"/>
              </w:rPr>
              <w:t>SAP</w:t>
            </w:r>
            <w:r>
              <w:rPr>
                <w:b/>
                <w:bCs/>
                <w:sz w:val="16"/>
                <w:szCs w:val="16"/>
              </w:rPr>
              <w:t xml:space="preserve"> rev</w:t>
            </w:r>
            <w:r w:rsidRPr="00363646">
              <w:rPr>
                <w:b/>
                <w:bCs/>
                <w:sz w:val="16"/>
                <w:szCs w:val="16"/>
              </w:rPr>
              <w:t xml:space="preserve"> acct</w:t>
            </w:r>
            <w:r>
              <w:rPr>
                <w:b/>
                <w:bCs/>
                <w:sz w:val="16"/>
                <w:szCs w:val="16"/>
              </w:rPr>
              <w:t xml:space="preserve">s </w:t>
            </w:r>
            <w:r w:rsidR="00E351FE">
              <w:rPr>
                <w:b/>
                <w:bCs/>
                <w:sz w:val="16"/>
                <w:szCs w:val="16"/>
              </w:rPr>
              <w:t>407010, 407020, 406530, 406625</w:t>
            </w:r>
            <w:r w:rsidR="00A20AEA">
              <w:rPr>
                <w:b/>
                <w:bCs/>
                <w:sz w:val="16"/>
                <w:szCs w:val="16"/>
              </w:rPr>
              <w:t xml:space="preserve"> (cost center 115450)</w:t>
            </w:r>
            <w:r w:rsidR="00E351FE">
              <w:rPr>
                <w:b/>
                <w:bCs/>
                <w:sz w:val="16"/>
                <w:szCs w:val="16"/>
              </w:rPr>
              <w:t xml:space="preserve">, </w:t>
            </w:r>
            <w:r w:rsidR="00A20AEA">
              <w:rPr>
                <w:b/>
                <w:bCs/>
                <w:sz w:val="16"/>
                <w:szCs w:val="16"/>
              </w:rPr>
              <w:t xml:space="preserve">and </w:t>
            </w:r>
            <w:r w:rsidR="00E351FE">
              <w:rPr>
                <w:b/>
                <w:bCs/>
                <w:sz w:val="16"/>
                <w:szCs w:val="16"/>
              </w:rPr>
              <w:t xml:space="preserve">408400 </w:t>
            </w:r>
            <w:r>
              <w:rPr>
                <w:b/>
                <w:bCs/>
                <w:sz w:val="16"/>
                <w:szCs w:val="16"/>
              </w:rPr>
              <w:t xml:space="preserve">– </w:t>
            </w:r>
            <w:r w:rsidR="00A12D69">
              <w:rPr>
                <w:b/>
                <w:bCs/>
                <w:sz w:val="16"/>
                <w:szCs w:val="16"/>
              </w:rPr>
              <w:t>almost entirely</w:t>
            </w:r>
            <w:r>
              <w:rPr>
                <w:b/>
                <w:bCs/>
                <w:sz w:val="16"/>
                <w:szCs w:val="16"/>
              </w:rPr>
              <w:t xml:space="preserve"> </w:t>
            </w:r>
            <w:r w:rsidR="00E351FE">
              <w:rPr>
                <w:b/>
                <w:bCs/>
                <w:sz w:val="16"/>
                <w:szCs w:val="16"/>
              </w:rPr>
              <w:t xml:space="preserve">tied to </w:t>
            </w:r>
            <w:r>
              <w:rPr>
                <w:b/>
                <w:bCs/>
                <w:sz w:val="16"/>
                <w:szCs w:val="16"/>
              </w:rPr>
              <w:t>APD</w:t>
            </w:r>
            <w:r w:rsidR="00E351FE">
              <w:rPr>
                <w:b/>
                <w:bCs/>
                <w:sz w:val="16"/>
                <w:szCs w:val="16"/>
              </w:rPr>
              <w:t>’s budget</w:t>
            </w:r>
            <w:r>
              <w:rPr>
                <w:b/>
                <w:bCs/>
                <w:sz w:val="16"/>
                <w:szCs w:val="16"/>
              </w:rPr>
              <w:t>)</w:t>
            </w:r>
          </w:p>
          <w:p w14:paraId="68C8EA63" w14:textId="3ACB68E7" w:rsidR="00363646" w:rsidRDefault="00363646" w:rsidP="00AE4A9C">
            <w:pPr>
              <w:rPr>
                <w:b/>
                <w:bCs/>
              </w:rPr>
            </w:pPr>
          </w:p>
        </w:tc>
        <w:tc>
          <w:tcPr>
            <w:tcW w:w="1060" w:type="dxa"/>
          </w:tcPr>
          <w:p w14:paraId="7ED4C5CE" w14:textId="6607859B" w:rsidR="00AE4A9C" w:rsidRDefault="00AE4A9C" w:rsidP="00AE4A9C">
            <w:r>
              <w:t>$</w:t>
            </w:r>
            <w:r w:rsidR="00434136">
              <w:t>7.6</w:t>
            </w:r>
            <w:r w:rsidR="001743E2">
              <w:t>M</w:t>
            </w:r>
          </w:p>
        </w:tc>
        <w:tc>
          <w:tcPr>
            <w:tcW w:w="1101" w:type="dxa"/>
          </w:tcPr>
          <w:p w14:paraId="43B57AFA" w14:textId="44892F64" w:rsidR="00AE4A9C" w:rsidRDefault="00E26AB4" w:rsidP="00AE4A9C">
            <w:r w:rsidRPr="00C92B4D">
              <w:t>$</w:t>
            </w:r>
            <w:r w:rsidR="00434136">
              <w:t>5.6</w:t>
            </w:r>
            <w:r w:rsidRPr="00C92B4D">
              <w:t>M</w:t>
            </w:r>
          </w:p>
        </w:tc>
        <w:tc>
          <w:tcPr>
            <w:tcW w:w="1263" w:type="dxa"/>
          </w:tcPr>
          <w:p w14:paraId="243BAE80" w14:textId="4D8276F0" w:rsidR="00AE4A9C" w:rsidRPr="003E530A" w:rsidRDefault="001C732C" w:rsidP="00AE4A9C">
            <w:r>
              <w:t>$</w:t>
            </w:r>
            <w:r w:rsidR="00A20B50">
              <w:t>1.7</w:t>
            </w:r>
            <w:r>
              <w:t>M</w:t>
            </w:r>
          </w:p>
        </w:tc>
        <w:tc>
          <w:tcPr>
            <w:tcW w:w="1230" w:type="dxa"/>
          </w:tcPr>
          <w:p w14:paraId="20A22AA3" w14:textId="6987EA4C" w:rsidR="00AE4A9C" w:rsidRPr="00571E2B" w:rsidRDefault="00A20B50" w:rsidP="00AE4A9C">
            <w:r>
              <w:t>30</w:t>
            </w:r>
            <w:r w:rsidR="001C732C">
              <w:t>%</w:t>
            </w:r>
          </w:p>
        </w:tc>
        <w:tc>
          <w:tcPr>
            <w:tcW w:w="1637" w:type="dxa"/>
          </w:tcPr>
          <w:p w14:paraId="084A634B" w14:textId="4923EF9D" w:rsidR="00AE4A9C" w:rsidRPr="0061773B" w:rsidRDefault="009275AA" w:rsidP="00AE4A9C">
            <w:r>
              <w:t>202</w:t>
            </w:r>
            <w:r w:rsidR="002575D1">
              <w:t>3</w:t>
            </w:r>
            <w:r w:rsidR="007734CD">
              <w:t xml:space="preserve"> </w:t>
            </w:r>
            <w:r w:rsidR="00491A01">
              <w:t>PFD</w:t>
            </w:r>
            <w:r>
              <w:t xml:space="preserve"> </w:t>
            </w:r>
            <w:r w:rsidR="002575D1">
              <w:t xml:space="preserve">of approx. $1,300 per action by AK </w:t>
            </w:r>
            <w:r w:rsidR="009962F9">
              <w:t>Legislature</w:t>
            </w:r>
            <w:r w:rsidR="00434136">
              <w:t xml:space="preserve"> (vs. 2022 total PFD/Energy Relief payment of $3,284)</w:t>
            </w:r>
          </w:p>
        </w:tc>
        <w:tc>
          <w:tcPr>
            <w:tcW w:w="1810" w:type="dxa"/>
          </w:tcPr>
          <w:p w14:paraId="28CFF0F1" w14:textId="260CCAE6" w:rsidR="00AE4A9C" w:rsidRPr="009F4FC3" w:rsidRDefault="00A20AEA" w:rsidP="00AE4A9C">
            <w:r>
              <w:t>Note:</w:t>
            </w:r>
            <w:r w:rsidR="00397B6C">
              <w:t xml:space="preserve"> budget assumed a $1,100 PFD check amount</w:t>
            </w:r>
            <w:r>
              <w:t xml:space="preserve">, however PFD revenue realization is not linear and can </w:t>
            </w:r>
            <w:proofErr w:type="gramStart"/>
            <w:r>
              <w:t>vary significantly</w:t>
            </w:r>
            <w:proofErr w:type="gramEnd"/>
            <w:r>
              <w:t xml:space="preserve"> year-to-year based on a number of major factors</w:t>
            </w:r>
            <w:r w:rsidR="00397B6C">
              <w:t xml:space="preserve">.  </w:t>
            </w:r>
            <w:r>
              <w:t>Revenue variance in 2023 could vary plus or minus</w:t>
            </w:r>
            <w:r w:rsidR="00397B6C">
              <w:t xml:space="preserve"> hundreds of thousands of dollars.</w:t>
            </w:r>
          </w:p>
        </w:tc>
        <w:tc>
          <w:tcPr>
            <w:tcW w:w="1553" w:type="dxa"/>
          </w:tcPr>
          <w:p w14:paraId="4C5B05F9" w14:textId="7F5A1D2C" w:rsidR="00AE4A9C" w:rsidRPr="0061773B" w:rsidRDefault="006C6270" w:rsidP="00AE4A9C">
            <w:r>
              <w:t>Initial PFD payout batch to occur Sept/Oct 2023 which will give strongest indication to MOA re: potential realization of garnishments.</w:t>
            </w:r>
          </w:p>
        </w:tc>
      </w:tr>
      <w:tr w:rsidR="00AB52EA" w14:paraId="2E814BA1" w14:textId="77777777" w:rsidTr="00025029">
        <w:tc>
          <w:tcPr>
            <w:tcW w:w="1515" w:type="dxa"/>
          </w:tcPr>
          <w:p w14:paraId="7FF8C926" w14:textId="77777777" w:rsidR="00AE4A9C" w:rsidRDefault="00AE4A9C" w:rsidP="00AE4A9C">
            <w:pPr>
              <w:rPr>
                <w:b/>
                <w:bCs/>
              </w:rPr>
            </w:pPr>
            <w:bookmarkStart w:id="0" w:name="_Hlk113893385"/>
            <w:r>
              <w:rPr>
                <w:b/>
                <w:bCs/>
              </w:rPr>
              <w:t>MUSA/MESA</w:t>
            </w:r>
          </w:p>
          <w:p w14:paraId="54B0FCE4" w14:textId="77777777" w:rsidR="00363646" w:rsidRDefault="00363646" w:rsidP="00AE4A9C">
            <w:pPr>
              <w:rPr>
                <w:b/>
                <w:bCs/>
              </w:rPr>
            </w:pPr>
          </w:p>
          <w:p w14:paraId="3C97F8D9" w14:textId="232B9547" w:rsidR="00363646" w:rsidRDefault="00363646" w:rsidP="00AE4A9C">
            <w:pPr>
              <w:rPr>
                <w:b/>
                <w:bCs/>
              </w:rPr>
            </w:pPr>
            <w:r w:rsidRPr="00363646">
              <w:rPr>
                <w:b/>
                <w:bCs/>
                <w:sz w:val="16"/>
                <w:szCs w:val="16"/>
              </w:rPr>
              <w:t>(SAP acct 4</w:t>
            </w:r>
            <w:r w:rsidR="00E351FE">
              <w:rPr>
                <w:b/>
                <w:bCs/>
                <w:sz w:val="16"/>
                <w:szCs w:val="16"/>
              </w:rPr>
              <w:t>50060</w:t>
            </w:r>
            <w:r w:rsidRPr="00363646">
              <w:rPr>
                <w:b/>
                <w:bCs/>
                <w:sz w:val="16"/>
                <w:szCs w:val="16"/>
              </w:rPr>
              <w:t>)</w:t>
            </w:r>
          </w:p>
        </w:tc>
        <w:tc>
          <w:tcPr>
            <w:tcW w:w="1060" w:type="dxa"/>
          </w:tcPr>
          <w:p w14:paraId="2D32734D" w14:textId="3EDF9E66" w:rsidR="00AE4A9C" w:rsidRDefault="00AE4A9C" w:rsidP="00AE4A9C">
            <w:r>
              <w:t>$</w:t>
            </w:r>
            <w:r w:rsidR="006047DC">
              <w:t>19.1</w:t>
            </w:r>
            <w:r w:rsidR="0070402B">
              <w:t>M</w:t>
            </w:r>
          </w:p>
        </w:tc>
        <w:tc>
          <w:tcPr>
            <w:tcW w:w="1101" w:type="dxa"/>
          </w:tcPr>
          <w:p w14:paraId="037E1BFB" w14:textId="4C0DC939" w:rsidR="00AE4A9C" w:rsidRDefault="00AE4A9C" w:rsidP="00AE4A9C">
            <w:r>
              <w:t>$</w:t>
            </w:r>
            <w:r w:rsidR="006047DC">
              <w:t>18.6</w:t>
            </w:r>
            <w:r w:rsidR="0070402B">
              <w:t>M</w:t>
            </w:r>
          </w:p>
        </w:tc>
        <w:tc>
          <w:tcPr>
            <w:tcW w:w="1263" w:type="dxa"/>
          </w:tcPr>
          <w:p w14:paraId="180418D8" w14:textId="39154ECA" w:rsidR="00AE4A9C" w:rsidRPr="00247D5F" w:rsidRDefault="00C06615" w:rsidP="00AE4A9C">
            <w:bookmarkStart w:id="1" w:name="OLE_LINK39"/>
            <w:bookmarkStart w:id="2" w:name="OLE_LINK40"/>
            <w:r w:rsidRPr="00E44B48">
              <w:t>$</w:t>
            </w:r>
            <w:r w:rsidR="00E44B48" w:rsidRPr="00E44B48">
              <w:t>63</w:t>
            </w:r>
            <w:bookmarkEnd w:id="1"/>
            <w:bookmarkEnd w:id="2"/>
            <w:r w:rsidR="00E44B48" w:rsidRPr="00E44B48">
              <w:t>K</w:t>
            </w:r>
          </w:p>
        </w:tc>
        <w:tc>
          <w:tcPr>
            <w:tcW w:w="1230" w:type="dxa"/>
          </w:tcPr>
          <w:p w14:paraId="7039D3D5" w14:textId="1BB8F8BA" w:rsidR="00AE4A9C" w:rsidRPr="00247D5F" w:rsidRDefault="006047DC" w:rsidP="00AE4A9C">
            <w:r>
              <w:t>0</w:t>
            </w:r>
            <w:r w:rsidR="003734C8">
              <w:t>.3</w:t>
            </w:r>
            <w:r w:rsidR="00582D68" w:rsidRPr="00247D5F">
              <w:t>%</w:t>
            </w:r>
          </w:p>
        </w:tc>
        <w:tc>
          <w:tcPr>
            <w:tcW w:w="1637" w:type="dxa"/>
          </w:tcPr>
          <w:p w14:paraId="75808983" w14:textId="530C0017" w:rsidR="00AE4A9C" w:rsidRPr="0061773B" w:rsidRDefault="00C06615" w:rsidP="00AE4A9C">
            <w:r w:rsidRPr="0061773B">
              <w:t xml:space="preserve">Based on SAP postings thru </w:t>
            </w:r>
            <w:r w:rsidR="00E44B48">
              <w:t>7/18/2023</w:t>
            </w:r>
            <w:r w:rsidRPr="0061773B">
              <w:t>.</w:t>
            </w:r>
          </w:p>
        </w:tc>
        <w:tc>
          <w:tcPr>
            <w:tcW w:w="1810" w:type="dxa"/>
          </w:tcPr>
          <w:p w14:paraId="5F285F99" w14:textId="4563F055" w:rsidR="00AE4A9C" w:rsidRPr="008D756F" w:rsidRDefault="006047DC" w:rsidP="00AE4A9C">
            <w:bookmarkStart w:id="3" w:name="OLE_LINK3"/>
            <w:bookmarkStart w:id="4" w:name="OLE_LINK4"/>
            <w:bookmarkStart w:id="5" w:name="OLE_LINK41"/>
            <w:bookmarkStart w:id="6" w:name="OLE_LINK50"/>
            <w:r>
              <w:t>Too early to project variance due to insufficient posting activity.</w:t>
            </w:r>
            <w:bookmarkEnd w:id="3"/>
            <w:bookmarkEnd w:id="4"/>
            <w:bookmarkEnd w:id="5"/>
            <w:bookmarkEnd w:id="6"/>
          </w:p>
        </w:tc>
        <w:tc>
          <w:tcPr>
            <w:tcW w:w="1553" w:type="dxa"/>
          </w:tcPr>
          <w:p w14:paraId="2AE857E9" w14:textId="0EB86E24" w:rsidR="00AE4A9C" w:rsidRPr="0061773B" w:rsidRDefault="009F4FC3" w:rsidP="00AE4A9C">
            <w:r>
              <w:t>M</w:t>
            </w:r>
            <w:r w:rsidR="00C06615" w:rsidRPr="0061773B">
              <w:t xml:space="preserve">unicipal utilities and enterprises </w:t>
            </w:r>
            <w:r>
              <w:t>to pay their</w:t>
            </w:r>
            <w:r w:rsidR="00C06615" w:rsidRPr="0061773B">
              <w:t xml:space="preserve"> annual MUSA/ MESA payments</w:t>
            </w:r>
            <w:r>
              <w:t xml:space="preserve"> </w:t>
            </w:r>
            <w:r w:rsidR="005922C7">
              <w:t>during Q3 202</w:t>
            </w:r>
            <w:r w:rsidR="008308B9">
              <w:t>3</w:t>
            </w:r>
            <w:r>
              <w:t>.</w:t>
            </w:r>
          </w:p>
        </w:tc>
      </w:tr>
      <w:bookmarkEnd w:id="0"/>
      <w:tr w:rsidR="00AB52EA" w14:paraId="285ACF4A" w14:textId="77777777" w:rsidTr="00025029">
        <w:tc>
          <w:tcPr>
            <w:tcW w:w="1515" w:type="dxa"/>
          </w:tcPr>
          <w:p w14:paraId="4DC2A204" w14:textId="77777777" w:rsidR="00C06615" w:rsidRDefault="00C06615" w:rsidP="004721B0">
            <w:pPr>
              <w:rPr>
                <w:b/>
                <w:bCs/>
              </w:rPr>
            </w:pPr>
            <w:r>
              <w:rPr>
                <w:b/>
                <w:bCs/>
              </w:rPr>
              <w:t>Private PILT</w:t>
            </w:r>
          </w:p>
          <w:p w14:paraId="0A08187A" w14:textId="77777777" w:rsidR="00363646" w:rsidRDefault="00363646" w:rsidP="004721B0">
            <w:pPr>
              <w:rPr>
                <w:b/>
                <w:bCs/>
              </w:rPr>
            </w:pPr>
          </w:p>
          <w:p w14:paraId="047CBA77" w14:textId="240D4CDC" w:rsidR="00363646" w:rsidRPr="00363646" w:rsidRDefault="00363646" w:rsidP="004721B0">
            <w:pPr>
              <w:rPr>
                <w:b/>
                <w:bCs/>
                <w:sz w:val="16"/>
                <w:szCs w:val="16"/>
              </w:rPr>
            </w:pPr>
            <w:r w:rsidRPr="00363646">
              <w:rPr>
                <w:b/>
                <w:bCs/>
                <w:sz w:val="16"/>
                <w:szCs w:val="16"/>
              </w:rPr>
              <w:t xml:space="preserve">(SAP acct 402020) </w:t>
            </w:r>
          </w:p>
        </w:tc>
        <w:tc>
          <w:tcPr>
            <w:tcW w:w="1060" w:type="dxa"/>
          </w:tcPr>
          <w:p w14:paraId="400A1ADB" w14:textId="04B8DCA9" w:rsidR="00C06615" w:rsidRDefault="00C06615" w:rsidP="004721B0">
            <w:r>
              <w:t>$</w:t>
            </w:r>
            <w:r w:rsidR="00E97AA8">
              <w:t>1</w:t>
            </w:r>
            <w:r w:rsidR="008308B9">
              <w:t>1.8</w:t>
            </w:r>
            <w:r w:rsidR="009F4FC3">
              <w:t>M</w:t>
            </w:r>
          </w:p>
        </w:tc>
        <w:tc>
          <w:tcPr>
            <w:tcW w:w="1101" w:type="dxa"/>
            <w:shd w:val="clear" w:color="auto" w:fill="auto"/>
          </w:tcPr>
          <w:p w14:paraId="5EB5232A" w14:textId="722AF2E5" w:rsidR="00C06615" w:rsidRDefault="00C06615" w:rsidP="004721B0">
            <w:r w:rsidRPr="00C92B4D">
              <w:t>$</w:t>
            </w:r>
            <w:r w:rsidR="00EB3BC0" w:rsidRPr="00C92B4D">
              <w:t>12.</w:t>
            </w:r>
            <w:r w:rsidR="008308B9">
              <w:t>5</w:t>
            </w:r>
            <w:r w:rsidR="00EB3BC0" w:rsidRPr="00C92B4D">
              <w:t>M</w:t>
            </w:r>
          </w:p>
        </w:tc>
        <w:tc>
          <w:tcPr>
            <w:tcW w:w="1263" w:type="dxa"/>
            <w:shd w:val="clear" w:color="auto" w:fill="auto"/>
          </w:tcPr>
          <w:p w14:paraId="6612F9C4" w14:textId="271E5EEC" w:rsidR="00C06615" w:rsidRPr="008F1E78" w:rsidRDefault="00C06615" w:rsidP="004721B0">
            <w:r w:rsidRPr="008F1E78">
              <w:t>$</w:t>
            </w:r>
            <w:r w:rsidR="008308B9">
              <w:t>2.0</w:t>
            </w:r>
            <w:r w:rsidR="009F4FC3" w:rsidRPr="008F1E78">
              <w:t>M</w:t>
            </w:r>
          </w:p>
        </w:tc>
        <w:tc>
          <w:tcPr>
            <w:tcW w:w="1230" w:type="dxa"/>
            <w:shd w:val="clear" w:color="auto" w:fill="auto"/>
          </w:tcPr>
          <w:p w14:paraId="0104C98C" w14:textId="0877669C" w:rsidR="00C06615" w:rsidRPr="008F1E78" w:rsidRDefault="008308B9" w:rsidP="004721B0">
            <w:r>
              <w:t>16</w:t>
            </w:r>
            <w:r w:rsidR="00C06615" w:rsidRPr="008F1E78">
              <w:t>%</w:t>
            </w:r>
          </w:p>
        </w:tc>
        <w:tc>
          <w:tcPr>
            <w:tcW w:w="1637" w:type="dxa"/>
          </w:tcPr>
          <w:p w14:paraId="2FB49E35" w14:textId="77777777" w:rsidR="00C06615" w:rsidRPr="0061773B" w:rsidRDefault="00C06615" w:rsidP="004721B0">
            <w:r w:rsidRPr="0061773B">
              <w:t xml:space="preserve">Based on contractual payments </w:t>
            </w:r>
            <w:r w:rsidRPr="0061773B">
              <w:lastRenderedPageBreak/>
              <w:t>payable to MOA.</w:t>
            </w:r>
          </w:p>
        </w:tc>
        <w:tc>
          <w:tcPr>
            <w:tcW w:w="1810" w:type="dxa"/>
          </w:tcPr>
          <w:p w14:paraId="3F262063" w14:textId="51B67340" w:rsidR="00C06615" w:rsidRPr="0061773B" w:rsidRDefault="006047DC" w:rsidP="004721B0">
            <w:bookmarkStart w:id="7" w:name="OLE_LINK15"/>
            <w:bookmarkStart w:id="8" w:name="OLE_LINK16"/>
            <w:r>
              <w:lastRenderedPageBreak/>
              <w:t xml:space="preserve">Too early to project variance due to </w:t>
            </w:r>
            <w:r>
              <w:lastRenderedPageBreak/>
              <w:t>insufficient posting activity</w:t>
            </w:r>
            <w:bookmarkEnd w:id="7"/>
            <w:bookmarkEnd w:id="8"/>
            <w:r>
              <w:t>.</w:t>
            </w:r>
          </w:p>
        </w:tc>
        <w:tc>
          <w:tcPr>
            <w:tcW w:w="1553" w:type="dxa"/>
          </w:tcPr>
          <w:p w14:paraId="34B53FBC" w14:textId="5B2C8B0C" w:rsidR="00C06615" w:rsidRPr="00227163" w:rsidRDefault="005370E2" w:rsidP="004721B0">
            <w:pPr>
              <w:rPr>
                <w:highlight w:val="yellow"/>
              </w:rPr>
            </w:pPr>
            <w:r w:rsidRPr="006C69A8">
              <w:lastRenderedPageBreak/>
              <w:t>Includes actual annual</w:t>
            </w:r>
            <w:r w:rsidR="009F4FC3" w:rsidRPr="006C69A8">
              <w:t xml:space="preserve"> p</w:t>
            </w:r>
            <w:r w:rsidR="00C06615" w:rsidRPr="006C69A8">
              <w:t>ayment</w:t>
            </w:r>
            <w:r w:rsidRPr="006C69A8">
              <w:t xml:space="preserve"> received</w:t>
            </w:r>
            <w:r w:rsidR="00C06615" w:rsidRPr="006C69A8">
              <w:t xml:space="preserve"> </w:t>
            </w:r>
            <w:r w:rsidR="009F4FC3" w:rsidRPr="006C69A8">
              <w:t xml:space="preserve">from </w:t>
            </w:r>
            <w:r w:rsidR="009F4FC3" w:rsidRPr="006C69A8">
              <w:lastRenderedPageBreak/>
              <w:t>Aurora Base</w:t>
            </w:r>
            <w:r w:rsidR="006047DC">
              <w:t xml:space="preserve"> </w:t>
            </w:r>
            <w:r w:rsidR="009F4FC3" w:rsidRPr="006C69A8">
              <w:t>Housing</w:t>
            </w:r>
            <w:r w:rsidR="006047DC">
              <w:t>. Payment from</w:t>
            </w:r>
            <w:r w:rsidR="009F4FC3" w:rsidRPr="006C69A8">
              <w:t xml:space="preserve"> </w:t>
            </w:r>
            <w:r w:rsidRPr="006C69A8">
              <w:t>Chugach Electric</w:t>
            </w:r>
            <w:r w:rsidR="006047DC">
              <w:t xml:space="preserve"> is TBD.</w:t>
            </w:r>
          </w:p>
        </w:tc>
      </w:tr>
      <w:tr w:rsidR="00AB52EA" w14:paraId="5F0B5821" w14:textId="77777777" w:rsidTr="00025029">
        <w:tc>
          <w:tcPr>
            <w:tcW w:w="1515" w:type="dxa"/>
          </w:tcPr>
          <w:p w14:paraId="7BB0FF71" w14:textId="77777777" w:rsidR="00C06615" w:rsidRDefault="00C06615" w:rsidP="004721B0">
            <w:pPr>
              <w:rPr>
                <w:b/>
                <w:bCs/>
              </w:rPr>
            </w:pPr>
            <w:r>
              <w:rPr>
                <w:b/>
                <w:bCs/>
              </w:rPr>
              <w:lastRenderedPageBreak/>
              <w:t>Real Property Tax (incl. ASD)</w:t>
            </w:r>
          </w:p>
          <w:p w14:paraId="6E2AC1B5" w14:textId="77777777" w:rsidR="00363646" w:rsidRDefault="00363646" w:rsidP="004721B0">
            <w:pPr>
              <w:rPr>
                <w:b/>
                <w:bCs/>
              </w:rPr>
            </w:pPr>
          </w:p>
          <w:p w14:paraId="05F8C217" w14:textId="02115CDA" w:rsidR="00363646" w:rsidRDefault="00363646" w:rsidP="004721B0">
            <w:pPr>
              <w:rPr>
                <w:b/>
                <w:bCs/>
              </w:rPr>
            </w:pPr>
            <w:r w:rsidRPr="00363646">
              <w:rPr>
                <w:b/>
                <w:bCs/>
                <w:sz w:val="16"/>
                <w:szCs w:val="16"/>
              </w:rPr>
              <w:t>(SAP acct 40</w:t>
            </w:r>
            <w:r w:rsidR="00E351FE">
              <w:rPr>
                <w:b/>
                <w:bCs/>
                <w:sz w:val="16"/>
                <w:szCs w:val="16"/>
              </w:rPr>
              <w:t>1010</w:t>
            </w:r>
            <w:r w:rsidRPr="00363646">
              <w:rPr>
                <w:b/>
                <w:bCs/>
                <w:sz w:val="16"/>
                <w:szCs w:val="16"/>
              </w:rPr>
              <w:t>)</w:t>
            </w:r>
          </w:p>
        </w:tc>
        <w:tc>
          <w:tcPr>
            <w:tcW w:w="1060" w:type="dxa"/>
          </w:tcPr>
          <w:p w14:paraId="333AA84D" w14:textId="495BC2E6" w:rsidR="00C06615" w:rsidRDefault="00C06615" w:rsidP="004721B0">
            <w:r>
              <w:t>$</w:t>
            </w:r>
            <w:r w:rsidR="00507F55">
              <w:t>5</w:t>
            </w:r>
            <w:r w:rsidR="006047DC">
              <w:t>49.8</w:t>
            </w:r>
            <w:r w:rsidR="0086051C">
              <w:t>M</w:t>
            </w:r>
          </w:p>
        </w:tc>
        <w:tc>
          <w:tcPr>
            <w:tcW w:w="1101" w:type="dxa"/>
          </w:tcPr>
          <w:p w14:paraId="221E5D39" w14:textId="224BB6D9" w:rsidR="00C06615" w:rsidRDefault="00C06615" w:rsidP="004721B0">
            <w:r>
              <w:t>$</w:t>
            </w:r>
            <w:r w:rsidR="00F0470F">
              <w:t>5</w:t>
            </w:r>
            <w:r w:rsidR="006047DC">
              <w:t>52.5</w:t>
            </w:r>
            <w:r w:rsidR="0086051C">
              <w:t>M</w:t>
            </w:r>
          </w:p>
          <w:p w14:paraId="306B48A7" w14:textId="77777777" w:rsidR="002D484F" w:rsidRDefault="002D484F" w:rsidP="004721B0"/>
          <w:p w14:paraId="0607FD1B" w14:textId="77777777" w:rsidR="002D484F" w:rsidRDefault="002D484F" w:rsidP="004721B0"/>
          <w:p w14:paraId="6C57516F" w14:textId="660CAA87" w:rsidR="002D484F" w:rsidRDefault="002D484F" w:rsidP="004721B0"/>
        </w:tc>
        <w:tc>
          <w:tcPr>
            <w:tcW w:w="1263" w:type="dxa"/>
          </w:tcPr>
          <w:p w14:paraId="17174E24" w14:textId="467AA6B7" w:rsidR="00C06615" w:rsidRPr="00E44B48" w:rsidRDefault="00A320C0" w:rsidP="004721B0">
            <w:bookmarkStart w:id="9" w:name="OLE_LINK7"/>
            <w:bookmarkStart w:id="10" w:name="OLE_LINK8"/>
            <w:r w:rsidRPr="00E44B48">
              <w:t>$</w:t>
            </w:r>
            <w:r w:rsidR="00E44B48" w:rsidRPr="00E44B48">
              <w:t>552.0</w:t>
            </w:r>
          </w:p>
          <w:bookmarkEnd w:id="9"/>
          <w:bookmarkEnd w:id="10"/>
          <w:p w14:paraId="284C6D94" w14:textId="77777777" w:rsidR="002D484F" w:rsidRPr="00247D5F" w:rsidRDefault="002D484F" w:rsidP="004721B0"/>
          <w:p w14:paraId="0B0C46E2" w14:textId="77777777" w:rsidR="002D484F" w:rsidRPr="00247D5F" w:rsidRDefault="002D484F" w:rsidP="004721B0"/>
          <w:p w14:paraId="6CDC09C1" w14:textId="0EF6D8FC" w:rsidR="002D484F" w:rsidRPr="00247D5F" w:rsidRDefault="002D484F" w:rsidP="004721B0"/>
        </w:tc>
        <w:tc>
          <w:tcPr>
            <w:tcW w:w="1230" w:type="dxa"/>
          </w:tcPr>
          <w:p w14:paraId="506F29D2" w14:textId="2349ECC9" w:rsidR="00C06615" w:rsidRPr="00247D5F" w:rsidRDefault="00E44B48" w:rsidP="004721B0">
            <w:r>
              <w:t>99.9%</w:t>
            </w:r>
          </w:p>
        </w:tc>
        <w:tc>
          <w:tcPr>
            <w:tcW w:w="1637" w:type="dxa"/>
          </w:tcPr>
          <w:p w14:paraId="53A44F1B" w14:textId="4C78205C" w:rsidR="00C06615" w:rsidRPr="0061773B" w:rsidRDefault="00C06615" w:rsidP="004721B0">
            <w:r w:rsidRPr="0061773B">
              <w:t xml:space="preserve">Based on </w:t>
            </w:r>
            <w:r w:rsidR="003E4BE9">
              <w:t xml:space="preserve">2022 </w:t>
            </w:r>
            <w:r w:rsidRPr="0061773B">
              <w:t>Roll 1 real property tax billing</w:t>
            </w:r>
            <w:r w:rsidR="003E4BE9">
              <w:t xml:space="preserve"> </w:t>
            </w:r>
            <w:r w:rsidR="006047DC">
              <w:t xml:space="preserve">in </w:t>
            </w:r>
            <w:r w:rsidR="003E4BE9">
              <w:t>June</w:t>
            </w:r>
            <w:r w:rsidR="006047DC">
              <w:t xml:space="preserve"> </w:t>
            </w:r>
            <w:r w:rsidR="003E4BE9">
              <w:t>202</w:t>
            </w:r>
            <w:r w:rsidR="006047DC">
              <w:t>3</w:t>
            </w:r>
            <w:r w:rsidR="004E30DE">
              <w:t xml:space="preserve"> and 2</w:t>
            </w:r>
            <w:r w:rsidR="004E30DE" w:rsidRPr="004E30DE">
              <w:rPr>
                <w:vertAlign w:val="superscript"/>
              </w:rPr>
              <w:t>nd</w:t>
            </w:r>
            <w:r w:rsidR="004E30DE">
              <w:t xml:space="preserve"> half real property adjusted billing </w:t>
            </w:r>
            <w:r w:rsidR="00E44B48">
              <w:t>occurred</w:t>
            </w:r>
            <w:r w:rsidR="004E30DE">
              <w:t xml:space="preserve"> in mid-July 2023</w:t>
            </w:r>
            <w:r w:rsidR="00E44B48">
              <w:t>.</w:t>
            </w:r>
            <w:r w:rsidR="003E4BE9">
              <w:t xml:space="preserve"> </w:t>
            </w:r>
          </w:p>
        </w:tc>
        <w:tc>
          <w:tcPr>
            <w:tcW w:w="1810" w:type="dxa"/>
          </w:tcPr>
          <w:p w14:paraId="617B9546" w14:textId="576AF4E0" w:rsidR="00C06615" w:rsidRPr="0061773B" w:rsidRDefault="00A4339E" w:rsidP="004721B0">
            <w:r>
              <w:t xml:space="preserve">Projected negative real property tax variance of </w:t>
            </w:r>
            <w:r w:rsidR="004E30DE">
              <w:t xml:space="preserve">approx. </w:t>
            </w:r>
            <w:r w:rsidRPr="00E21AD1">
              <w:rPr>
                <w:color w:val="FF0000"/>
              </w:rPr>
              <w:t>&lt;$</w:t>
            </w:r>
            <w:r w:rsidR="00E44B48">
              <w:rPr>
                <w:color w:val="FF0000"/>
              </w:rPr>
              <w:t>500K</w:t>
            </w:r>
            <w:r w:rsidRPr="00E21AD1">
              <w:rPr>
                <w:color w:val="FF0000"/>
              </w:rPr>
              <w:t>&gt;</w:t>
            </w:r>
            <w:r w:rsidR="00A320C0">
              <w:rPr>
                <w:color w:val="FF0000"/>
              </w:rPr>
              <w:t xml:space="preserve"> </w:t>
            </w:r>
            <w:r w:rsidR="004E30DE">
              <w:t xml:space="preserve">based on Property Appraisal’s </w:t>
            </w:r>
            <w:r w:rsidR="00A20AEA">
              <w:t xml:space="preserve">initial </w:t>
            </w:r>
            <w:r w:rsidR="004E30DE">
              <w:t>analysis.  Projected shortfall is d</w:t>
            </w:r>
            <w:r w:rsidR="00A320C0">
              <w:t xml:space="preserve">ue to assessment / exemption adjustments arising from Property Appraisal’s </w:t>
            </w:r>
            <w:r w:rsidR="004E30DE">
              <w:t>1st</w:t>
            </w:r>
            <w:r w:rsidR="00A320C0">
              <w:t xml:space="preserve"> year of fully utilizing the new Tyler CAMA system</w:t>
            </w:r>
            <w:r w:rsidR="00A320C0" w:rsidRPr="00DB4FCE">
              <w:t xml:space="preserve">.  </w:t>
            </w:r>
            <w:r w:rsidRPr="00DB4FCE">
              <w:t xml:space="preserve"> </w:t>
            </w:r>
            <w:bookmarkStart w:id="11" w:name="OLE_LINK5"/>
            <w:r w:rsidR="00A320C0" w:rsidRPr="00DB4FCE">
              <w:t>[</w:t>
            </w:r>
            <w:r w:rsidRPr="00DB4FCE">
              <w:rPr>
                <w:b/>
                <w:bCs/>
              </w:rPr>
              <w:t>Note:</w:t>
            </w:r>
            <w:r w:rsidRPr="00DB4FCE">
              <w:t xml:space="preserve"> </w:t>
            </w:r>
            <w:bookmarkEnd w:id="11"/>
            <w:r w:rsidR="00E061BD" w:rsidRPr="00DB4FCE">
              <w:t>In total,</w:t>
            </w:r>
            <w:r w:rsidRPr="00DB4FCE">
              <w:t xml:space="preserve"> </w:t>
            </w:r>
            <w:proofErr w:type="gramStart"/>
            <w:r w:rsidRPr="00DB4FCE">
              <w:t>real</w:t>
            </w:r>
            <w:proofErr w:type="gramEnd"/>
            <w:r w:rsidRPr="00DB4FCE">
              <w:t xml:space="preserve"> and personal property tax projected to </w:t>
            </w:r>
            <w:r w:rsidR="00665709" w:rsidRPr="00DB4FCE">
              <w:t>meet budget.</w:t>
            </w:r>
            <w:r w:rsidR="00A320C0" w:rsidRPr="00DB4FCE">
              <w:t>]</w:t>
            </w:r>
          </w:p>
        </w:tc>
        <w:tc>
          <w:tcPr>
            <w:tcW w:w="1553" w:type="dxa"/>
          </w:tcPr>
          <w:p w14:paraId="5D1A8FCB" w14:textId="791377B0" w:rsidR="00C06615" w:rsidRPr="0061773B" w:rsidRDefault="00C06615" w:rsidP="004721B0">
            <w:r w:rsidRPr="0061773B">
              <w:t>Current Year Real (and Personal) Property Tax Revenue is posted when billed and delinquent property tax payments are posted when received and adjusted at Year End by Controller Division per accounting standards.</w:t>
            </w:r>
            <w:r w:rsidR="00A320C0">
              <w:t xml:space="preserve"> </w:t>
            </w:r>
            <w:r w:rsidR="00A20AEA" w:rsidRPr="00A320C0">
              <w:rPr>
                <w:color w:val="0070C0"/>
              </w:rPr>
              <w:t>[</w:t>
            </w:r>
            <w:r w:rsidR="00A20AEA" w:rsidRPr="00A320C0">
              <w:rPr>
                <w:b/>
                <w:bCs/>
                <w:color w:val="0070C0"/>
              </w:rPr>
              <w:t>Note:</w:t>
            </w:r>
            <w:r w:rsidR="00A20AEA" w:rsidRPr="00A320C0">
              <w:rPr>
                <w:color w:val="0070C0"/>
              </w:rPr>
              <w:t xml:space="preserve"> </w:t>
            </w:r>
            <w:r w:rsidR="00A320C0" w:rsidRPr="00A320C0">
              <w:rPr>
                <w:color w:val="0070C0"/>
              </w:rPr>
              <w:t xml:space="preserve">2022 Actual </w:t>
            </w:r>
            <w:r w:rsidR="00A320C0">
              <w:rPr>
                <w:color w:val="0070C0"/>
              </w:rPr>
              <w:t xml:space="preserve">real and personal property taxes are </w:t>
            </w:r>
            <w:r w:rsidR="00A320C0" w:rsidRPr="00A320C0">
              <w:rPr>
                <w:color w:val="0070C0"/>
              </w:rPr>
              <w:t xml:space="preserve">not yet final posted as of </w:t>
            </w:r>
            <w:r w:rsidR="003734C8">
              <w:rPr>
                <w:color w:val="0070C0"/>
              </w:rPr>
              <w:t>7/18/2023</w:t>
            </w:r>
            <w:r w:rsidR="00A320C0" w:rsidRPr="00A320C0">
              <w:rPr>
                <w:color w:val="0070C0"/>
              </w:rPr>
              <w:t>.</w:t>
            </w:r>
            <w:r w:rsidR="00A20AEA">
              <w:rPr>
                <w:color w:val="0070C0"/>
              </w:rPr>
              <w:t>]</w:t>
            </w:r>
          </w:p>
        </w:tc>
      </w:tr>
      <w:tr w:rsidR="00AB52EA" w14:paraId="7D9B4A10" w14:textId="77777777" w:rsidTr="00025029">
        <w:tc>
          <w:tcPr>
            <w:tcW w:w="1515" w:type="dxa"/>
          </w:tcPr>
          <w:p w14:paraId="2F1371A8" w14:textId="77777777" w:rsidR="00C06615" w:rsidRDefault="00C06615" w:rsidP="004721B0">
            <w:pPr>
              <w:rPr>
                <w:b/>
                <w:bCs/>
              </w:rPr>
            </w:pPr>
            <w:r>
              <w:rPr>
                <w:b/>
                <w:bCs/>
              </w:rPr>
              <w:t>Personal Property Tax (incl. ASD)</w:t>
            </w:r>
          </w:p>
          <w:p w14:paraId="3D1D1D7A" w14:textId="77777777" w:rsidR="00363646" w:rsidRDefault="00363646" w:rsidP="004721B0">
            <w:pPr>
              <w:rPr>
                <w:b/>
                <w:bCs/>
              </w:rPr>
            </w:pPr>
          </w:p>
          <w:p w14:paraId="5140CDB8" w14:textId="25F7DAB6" w:rsidR="00363646" w:rsidRDefault="00363646" w:rsidP="004721B0">
            <w:pPr>
              <w:rPr>
                <w:b/>
                <w:bCs/>
              </w:rPr>
            </w:pPr>
            <w:r w:rsidRPr="00363646">
              <w:rPr>
                <w:b/>
                <w:bCs/>
                <w:sz w:val="16"/>
                <w:szCs w:val="16"/>
              </w:rPr>
              <w:t>(SAP acct 40</w:t>
            </w:r>
            <w:r w:rsidR="00E351FE">
              <w:rPr>
                <w:b/>
                <w:bCs/>
                <w:sz w:val="16"/>
                <w:szCs w:val="16"/>
              </w:rPr>
              <w:t>1020</w:t>
            </w:r>
            <w:r w:rsidRPr="00363646">
              <w:rPr>
                <w:b/>
                <w:bCs/>
                <w:sz w:val="16"/>
                <w:szCs w:val="16"/>
              </w:rPr>
              <w:t>)</w:t>
            </w:r>
          </w:p>
        </w:tc>
        <w:tc>
          <w:tcPr>
            <w:tcW w:w="1060" w:type="dxa"/>
          </w:tcPr>
          <w:p w14:paraId="3E20DC9E" w14:textId="10EC17D3" w:rsidR="00C06615" w:rsidRPr="00EE04D8" w:rsidRDefault="00EE04D8" w:rsidP="004721B0">
            <w:r w:rsidRPr="00EE04D8">
              <w:t>$</w:t>
            </w:r>
            <w:r w:rsidR="00A320C0">
              <w:t>47.7</w:t>
            </w:r>
            <w:r w:rsidRPr="00EE04D8">
              <w:t>M</w:t>
            </w:r>
          </w:p>
        </w:tc>
        <w:tc>
          <w:tcPr>
            <w:tcW w:w="1101" w:type="dxa"/>
          </w:tcPr>
          <w:p w14:paraId="7BAD1204" w14:textId="49F3DE4D" w:rsidR="00C06615" w:rsidRDefault="00A320C0" w:rsidP="004721B0">
            <w:r>
              <w:t>$50</w:t>
            </w:r>
            <w:r w:rsidR="00F0470F">
              <w:t>.2M</w:t>
            </w:r>
          </w:p>
          <w:p w14:paraId="41086C3A" w14:textId="77777777" w:rsidR="002D484F" w:rsidRDefault="002D484F" w:rsidP="004721B0"/>
          <w:p w14:paraId="7F78CE95" w14:textId="77777777" w:rsidR="002D484F" w:rsidRDefault="002D484F" w:rsidP="004721B0"/>
          <w:p w14:paraId="0DBC6BE6" w14:textId="5A3EE296" w:rsidR="002D484F" w:rsidRDefault="002D484F" w:rsidP="00F0470F"/>
        </w:tc>
        <w:tc>
          <w:tcPr>
            <w:tcW w:w="1263" w:type="dxa"/>
          </w:tcPr>
          <w:p w14:paraId="3B115929" w14:textId="77777777" w:rsidR="00A320C0" w:rsidRPr="00A320C0" w:rsidRDefault="00A320C0" w:rsidP="00A320C0">
            <w:pPr>
              <w:rPr>
                <w:color w:val="0070C0"/>
              </w:rPr>
            </w:pPr>
            <w:r>
              <w:rPr>
                <w:color w:val="0070C0"/>
              </w:rPr>
              <w:t xml:space="preserve">$ </w:t>
            </w:r>
            <w:r w:rsidRPr="00A320C0">
              <w:rPr>
                <w:color w:val="0070C0"/>
              </w:rPr>
              <w:t>n/a</w:t>
            </w:r>
          </w:p>
          <w:p w14:paraId="30CF78C0" w14:textId="77777777" w:rsidR="002D484F" w:rsidRPr="008F1E78" w:rsidRDefault="002D484F" w:rsidP="004721B0"/>
          <w:p w14:paraId="2DB28985" w14:textId="77777777" w:rsidR="002D484F" w:rsidRPr="008F1E78" w:rsidRDefault="002D484F" w:rsidP="004721B0"/>
          <w:p w14:paraId="10840982" w14:textId="6A1C9853" w:rsidR="002D484F" w:rsidRPr="008F1E78" w:rsidRDefault="002D484F" w:rsidP="004721B0"/>
        </w:tc>
        <w:tc>
          <w:tcPr>
            <w:tcW w:w="1230" w:type="dxa"/>
          </w:tcPr>
          <w:p w14:paraId="346D877C" w14:textId="7DC1F569" w:rsidR="00C06615" w:rsidRPr="008F1E78" w:rsidRDefault="00A320C0" w:rsidP="004721B0">
            <w:pPr>
              <w:rPr>
                <w:color w:val="7030A0"/>
              </w:rPr>
            </w:pPr>
            <w:r w:rsidRPr="00A320C0">
              <w:rPr>
                <w:color w:val="0070C0"/>
              </w:rPr>
              <w:t>n/a %</w:t>
            </w:r>
          </w:p>
        </w:tc>
        <w:tc>
          <w:tcPr>
            <w:tcW w:w="1637" w:type="dxa"/>
          </w:tcPr>
          <w:p w14:paraId="68F36FEB" w14:textId="2B36B99F" w:rsidR="00C06615" w:rsidRPr="0061773B" w:rsidRDefault="00CE37B5" w:rsidP="004721B0">
            <w:r>
              <w:t xml:space="preserve">TBD -- </w:t>
            </w:r>
            <w:r w:rsidR="00941A49">
              <w:t>Based on 202</w:t>
            </w:r>
            <w:r>
              <w:t>3</w:t>
            </w:r>
            <w:r w:rsidR="00941A49">
              <w:t xml:space="preserve"> </w:t>
            </w:r>
            <w:r w:rsidR="00C06615" w:rsidRPr="0061773B">
              <w:t xml:space="preserve">billing of </w:t>
            </w:r>
            <w:r w:rsidR="003E4BE9">
              <w:t xml:space="preserve">all </w:t>
            </w:r>
            <w:r w:rsidR="00C06615" w:rsidRPr="0061773B">
              <w:t>personal property Rolls 2-</w:t>
            </w:r>
            <w:r w:rsidR="003E4BE9">
              <w:t xml:space="preserve">7 </w:t>
            </w:r>
            <w:r w:rsidR="00941A49">
              <w:t>in Octo</w:t>
            </w:r>
            <w:r w:rsidR="003E4BE9">
              <w:t>ber</w:t>
            </w:r>
            <w:r w:rsidR="00C92B4D">
              <w:t>.</w:t>
            </w:r>
          </w:p>
        </w:tc>
        <w:tc>
          <w:tcPr>
            <w:tcW w:w="1810" w:type="dxa"/>
          </w:tcPr>
          <w:p w14:paraId="5E197C56" w14:textId="5C5358A3" w:rsidR="00C06615" w:rsidRPr="0061773B" w:rsidRDefault="00670EB5" w:rsidP="004721B0">
            <w:r>
              <w:t>P</w:t>
            </w:r>
            <w:r w:rsidR="004E30DE">
              <w:t>otential to meet or modestly exceed budget based on early, partial business personal property data processed by Property Appraisal.</w:t>
            </w:r>
          </w:p>
        </w:tc>
        <w:tc>
          <w:tcPr>
            <w:tcW w:w="1553" w:type="dxa"/>
          </w:tcPr>
          <w:p w14:paraId="12C3D3A6" w14:textId="6A8B38C2" w:rsidR="00C06615" w:rsidRPr="0061773B" w:rsidRDefault="00C06615" w:rsidP="004721B0">
            <w:r w:rsidRPr="0061773B">
              <w:t xml:space="preserve">See preceding comment re: property tax revenue accounting standards. </w:t>
            </w:r>
            <w:r w:rsidR="004E30DE">
              <w:t xml:space="preserve">Based on the self-reported nature of business personal property tax and the October billing </w:t>
            </w:r>
            <w:r w:rsidR="004E30DE">
              <w:lastRenderedPageBreak/>
              <w:t>date, ability to project revenue</w:t>
            </w:r>
            <w:r w:rsidR="00A20AEA">
              <w:t xml:space="preserve"> variance</w:t>
            </w:r>
            <w:r w:rsidR="004E30DE">
              <w:t xml:space="preserve"> is limited.</w:t>
            </w:r>
          </w:p>
        </w:tc>
      </w:tr>
      <w:tr w:rsidR="00AB52EA" w14:paraId="4CB4837A" w14:textId="77777777" w:rsidTr="00025029">
        <w:tc>
          <w:tcPr>
            <w:tcW w:w="1515" w:type="dxa"/>
          </w:tcPr>
          <w:p w14:paraId="32A7A278" w14:textId="77777777" w:rsidR="00C06615" w:rsidRDefault="00C06615" w:rsidP="004721B0">
            <w:pPr>
              <w:rPr>
                <w:b/>
                <w:bCs/>
              </w:rPr>
            </w:pPr>
            <w:bookmarkStart w:id="12" w:name="_Hlk137672544"/>
            <w:r w:rsidRPr="00817FEE">
              <w:rPr>
                <w:b/>
                <w:bCs/>
              </w:rPr>
              <w:lastRenderedPageBreak/>
              <w:t>Cash Pool Earnings Revenue Accounts (incl. TANS)</w:t>
            </w:r>
          </w:p>
          <w:p w14:paraId="6E55306F" w14:textId="77777777" w:rsidR="00363646" w:rsidRDefault="00363646" w:rsidP="004721B0">
            <w:pPr>
              <w:rPr>
                <w:b/>
                <w:bCs/>
              </w:rPr>
            </w:pPr>
          </w:p>
          <w:p w14:paraId="54332A97" w14:textId="2188F6C2" w:rsidR="00363646" w:rsidRPr="00817FEE" w:rsidRDefault="00363646" w:rsidP="004721B0">
            <w:pPr>
              <w:rPr>
                <w:b/>
                <w:bCs/>
              </w:rPr>
            </w:pPr>
            <w:r w:rsidRPr="00363646">
              <w:rPr>
                <w:b/>
                <w:bCs/>
                <w:sz w:val="16"/>
                <w:szCs w:val="16"/>
              </w:rPr>
              <w:t xml:space="preserve">(SAP </w:t>
            </w:r>
            <w:r w:rsidR="00E351FE">
              <w:rPr>
                <w:b/>
                <w:bCs/>
                <w:sz w:val="16"/>
                <w:szCs w:val="16"/>
              </w:rPr>
              <w:t xml:space="preserve">rev </w:t>
            </w:r>
            <w:r w:rsidRPr="00363646">
              <w:rPr>
                <w:b/>
                <w:bCs/>
                <w:sz w:val="16"/>
                <w:szCs w:val="16"/>
              </w:rPr>
              <w:t>acct</w:t>
            </w:r>
            <w:r w:rsidR="00E351FE">
              <w:rPr>
                <w:b/>
                <w:bCs/>
                <w:sz w:val="16"/>
                <w:szCs w:val="16"/>
              </w:rPr>
              <w:t>s</w:t>
            </w:r>
            <w:r w:rsidRPr="00363646">
              <w:rPr>
                <w:b/>
                <w:bCs/>
                <w:sz w:val="16"/>
                <w:szCs w:val="16"/>
              </w:rPr>
              <w:t xml:space="preserve"> 4</w:t>
            </w:r>
            <w:r w:rsidR="00E351FE">
              <w:rPr>
                <w:b/>
                <w:bCs/>
                <w:sz w:val="16"/>
                <w:szCs w:val="16"/>
              </w:rPr>
              <w:t>40010, 440020, 440030</w:t>
            </w:r>
            <w:r w:rsidRPr="00363646">
              <w:rPr>
                <w:b/>
                <w:bCs/>
                <w:sz w:val="16"/>
                <w:szCs w:val="16"/>
              </w:rPr>
              <w:t>)</w:t>
            </w:r>
          </w:p>
        </w:tc>
        <w:tc>
          <w:tcPr>
            <w:tcW w:w="1060" w:type="dxa"/>
          </w:tcPr>
          <w:p w14:paraId="49F5C83C" w14:textId="226E9809" w:rsidR="00C06615" w:rsidRPr="00AE0315" w:rsidRDefault="0036160A" w:rsidP="004721B0">
            <w:pPr>
              <w:rPr>
                <w:color w:val="FF0000"/>
                <w:highlight w:val="yellow"/>
              </w:rPr>
            </w:pPr>
            <w:r w:rsidRPr="00817FEE">
              <w:rPr>
                <w:color w:val="FF0000"/>
              </w:rPr>
              <w:t>&lt;</w:t>
            </w:r>
            <w:r w:rsidR="00C06615" w:rsidRPr="00817FEE">
              <w:rPr>
                <w:color w:val="FF0000"/>
              </w:rPr>
              <w:t>$</w:t>
            </w:r>
            <w:r w:rsidR="004439C8">
              <w:rPr>
                <w:color w:val="FF0000"/>
              </w:rPr>
              <w:t>3.1</w:t>
            </w:r>
            <w:r w:rsidR="005E6F7E" w:rsidRPr="00817FEE">
              <w:rPr>
                <w:color w:val="FF0000"/>
              </w:rPr>
              <w:t>M</w:t>
            </w:r>
            <w:r w:rsidRPr="00817FEE">
              <w:rPr>
                <w:color w:val="FF0000"/>
              </w:rPr>
              <w:t>&gt;</w:t>
            </w:r>
          </w:p>
        </w:tc>
        <w:tc>
          <w:tcPr>
            <w:tcW w:w="1101" w:type="dxa"/>
          </w:tcPr>
          <w:p w14:paraId="750F766B" w14:textId="56144FF1" w:rsidR="00C06615" w:rsidRPr="002122BF" w:rsidRDefault="00C06615" w:rsidP="004721B0">
            <w:r w:rsidRPr="002122BF">
              <w:t>$</w:t>
            </w:r>
            <w:r w:rsidR="00FE7B0B">
              <w:t>7.4M</w:t>
            </w:r>
          </w:p>
        </w:tc>
        <w:tc>
          <w:tcPr>
            <w:tcW w:w="1263" w:type="dxa"/>
            <w:shd w:val="clear" w:color="auto" w:fill="auto"/>
          </w:tcPr>
          <w:p w14:paraId="6D3ED1CB" w14:textId="287D2E83" w:rsidR="00C06615" w:rsidRPr="002122BF" w:rsidRDefault="004439C8" w:rsidP="004721B0">
            <w:r>
              <w:rPr>
                <w:color w:val="0070C0"/>
              </w:rPr>
              <w:t xml:space="preserve">$ </w:t>
            </w:r>
            <w:r w:rsidRPr="004439C8">
              <w:rPr>
                <w:color w:val="0070C0"/>
              </w:rPr>
              <w:t>n/a</w:t>
            </w:r>
          </w:p>
        </w:tc>
        <w:tc>
          <w:tcPr>
            <w:tcW w:w="1230" w:type="dxa"/>
          </w:tcPr>
          <w:p w14:paraId="1E033A61" w14:textId="4C34FF9F" w:rsidR="00C06615" w:rsidRPr="002122BF" w:rsidRDefault="00EE0D52" w:rsidP="004721B0">
            <w:bookmarkStart w:id="13" w:name="OLE_LINK13"/>
            <w:bookmarkStart w:id="14" w:name="OLE_LINK14"/>
            <w:r w:rsidRPr="004439C8">
              <w:rPr>
                <w:color w:val="0070C0"/>
              </w:rPr>
              <w:t>n/a</w:t>
            </w:r>
            <w:r w:rsidR="004439C8">
              <w:rPr>
                <w:color w:val="0070C0"/>
              </w:rPr>
              <w:t xml:space="preserve"> %</w:t>
            </w:r>
            <w:bookmarkEnd w:id="13"/>
            <w:bookmarkEnd w:id="14"/>
          </w:p>
        </w:tc>
        <w:tc>
          <w:tcPr>
            <w:tcW w:w="1637" w:type="dxa"/>
          </w:tcPr>
          <w:p w14:paraId="7CE368C9" w14:textId="2F0B5245" w:rsidR="00C06615" w:rsidRPr="005D443F" w:rsidRDefault="00BC74D7" w:rsidP="004721B0">
            <w:r w:rsidRPr="005D443F">
              <w:t>202</w:t>
            </w:r>
            <w:r w:rsidR="004439C8">
              <w:t>3</w:t>
            </w:r>
            <w:r w:rsidRPr="005D443F">
              <w:t xml:space="preserve"> cash pool/TANS earnings </w:t>
            </w:r>
            <w:r w:rsidR="005D443F" w:rsidRPr="005D443F">
              <w:t xml:space="preserve">projection </w:t>
            </w:r>
            <w:r w:rsidRPr="005D443F">
              <w:t>is based on past earnings allocations during comparable time periods.</w:t>
            </w:r>
            <w:r w:rsidR="004439C8">
              <w:t xml:space="preserve">  Actual 2023 Cash Pool earnings have not yet been posted in SAP as of </w:t>
            </w:r>
            <w:r w:rsidR="00553644">
              <w:t>7/18/2023</w:t>
            </w:r>
            <w:r w:rsidR="004439C8">
              <w:t>.</w:t>
            </w:r>
          </w:p>
        </w:tc>
        <w:tc>
          <w:tcPr>
            <w:tcW w:w="1810" w:type="dxa"/>
          </w:tcPr>
          <w:p w14:paraId="3B37E726" w14:textId="4D05A27E" w:rsidR="00C06615" w:rsidRPr="004C5727" w:rsidRDefault="004439C8" w:rsidP="004721B0">
            <w:pPr>
              <w:rPr>
                <w:color w:val="FF0000"/>
              </w:rPr>
            </w:pPr>
            <w:r>
              <w:t>Projected</w:t>
            </w:r>
            <w:r w:rsidR="006C69A8">
              <w:t xml:space="preserve"> </w:t>
            </w:r>
            <w:r>
              <w:t>positive</w:t>
            </w:r>
            <w:r w:rsidR="006C69A8">
              <w:t xml:space="preserve"> variance </w:t>
            </w:r>
            <w:r w:rsidR="00670EB5">
              <w:t xml:space="preserve">expected </w:t>
            </w:r>
            <w:r w:rsidR="006C69A8">
              <w:t xml:space="preserve">of </w:t>
            </w:r>
            <w:r w:rsidR="006C69A8" w:rsidRPr="00AB52EA">
              <w:t>$</w:t>
            </w:r>
            <w:r w:rsidR="006E65FE">
              <w:t>782</w:t>
            </w:r>
            <w:r w:rsidRPr="00AB52EA">
              <w:t>K</w:t>
            </w:r>
            <w:r w:rsidR="00E01CF6" w:rsidRPr="00AB52EA">
              <w:t xml:space="preserve"> </w:t>
            </w:r>
            <w:r w:rsidR="00670EB5">
              <w:t xml:space="preserve">per </w:t>
            </w:r>
            <w:r w:rsidR="00AB52EA">
              <w:t>Public Finance Division.</w:t>
            </w:r>
          </w:p>
        </w:tc>
        <w:tc>
          <w:tcPr>
            <w:tcW w:w="1553" w:type="dxa"/>
          </w:tcPr>
          <w:p w14:paraId="6AAB67A8" w14:textId="1C1AC0A9" w:rsidR="00C06615" w:rsidRPr="005D443F" w:rsidRDefault="00C06615" w:rsidP="004721B0">
            <w:r w:rsidRPr="005D443F">
              <w:t xml:space="preserve">Earnings and market value of Cash Pool investments can </w:t>
            </w:r>
            <w:proofErr w:type="gramStart"/>
            <w:r w:rsidR="00636A52">
              <w:t xml:space="preserve">vary </w:t>
            </w:r>
            <w:r w:rsidRPr="005D443F">
              <w:t>significantly</w:t>
            </w:r>
            <w:proofErr w:type="gramEnd"/>
            <w:r w:rsidRPr="005D443F">
              <w:t xml:space="preserve"> month-to-month.</w:t>
            </w:r>
          </w:p>
        </w:tc>
      </w:tr>
      <w:bookmarkEnd w:id="12"/>
      <w:tr w:rsidR="00AB52EA" w14:paraId="02205BF1" w14:textId="77777777" w:rsidTr="00025029">
        <w:tc>
          <w:tcPr>
            <w:tcW w:w="1515" w:type="dxa"/>
          </w:tcPr>
          <w:p w14:paraId="320BC762" w14:textId="77777777" w:rsidR="004B40BD" w:rsidRDefault="004B40BD" w:rsidP="004B40BD">
            <w:pPr>
              <w:rPr>
                <w:b/>
                <w:bCs/>
              </w:rPr>
            </w:pPr>
            <w:r w:rsidRPr="002F754B">
              <w:rPr>
                <w:b/>
                <w:bCs/>
              </w:rPr>
              <w:t xml:space="preserve">Room Tax (GG portion) – </w:t>
            </w:r>
            <w:r w:rsidRPr="00EE0D52">
              <w:rPr>
                <w:b/>
                <w:bCs/>
                <w:highlight w:val="lightGray"/>
              </w:rPr>
              <w:t>QUARTERLY REPORTED REVENUE</w:t>
            </w:r>
          </w:p>
          <w:p w14:paraId="7FBE8ECE" w14:textId="77777777" w:rsidR="004B40BD" w:rsidRDefault="004B40BD" w:rsidP="004B40BD">
            <w:pPr>
              <w:rPr>
                <w:b/>
                <w:bCs/>
              </w:rPr>
            </w:pPr>
          </w:p>
          <w:p w14:paraId="391BD592" w14:textId="32C6FA95" w:rsidR="004B40BD" w:rsidRPr="002F754B" w:rsidRDefault="004B40BD" w:rsidP="004B40BD">
            <w:pPr>
              <w:rPr>
                <w:b/>
                <w:bCs/>
              </w:rPr>
            </w:pPr>
            <w:r w:rsidRPr="00363646">
              <w:rPr>
                <w:b/>
                <w:bCs/>
                <w:sz w:val="16"/>
                <w:szCs w:val="16"/>
              </w:rPr>
              <w:t>(SAP acct 40</w:t>
            </w:r>
            <w:r>
              <w:rPr>
                <w:b/>
                <w:bCs/>
                <w:sz w:val="16"/>
                <w:szCs w:val="16"/>
              </w:rPr>
              <w:t>1110 – allocated across 5 different funds. NOTE: Gen’l Government has historically retained approx. 43% of total room tax with the remainder being distributed to CIVIC Ventures and Visit Anchorage)</w:t>
            </w:r>
          </w:p>
        </w:tc>
        <w:tc>
          <w:tcPr>
            <w:tcW w:w="1060" w:type="dxa"/>
          </w:tcPr>
          <w:p w14:paraId="3DD1AB73" w14:textId="55BBD559" w:rsidR="004B40BD" w:rsidRPr="002F754B" w:rsidRDefault="004B40BD" w:rsidP="004B40BD">
            <w:r w:rsidRPr="002F754B">
              <w:t>$</w:t>
            </w:r>
            <w:r>
              <w:t>40.0M</w:t>
            </w:r>
          </w:p>
        </w:tc>
        <w:tc>
          <w:tcPr>
            <w:tcW w:w="1101" w:type="dxa"/>
          </w:tcPr>
          <w:p w14:paraId="7BDD119C" w14:textId="3A93A24E" w:rsidR="004B40BD" w:rsidRPr="008D3CDA" w:rsidRDefault="004B40BD" w:rsidP="004B40BD">
            <w:r w:rsidRPr="008D3CDA">
              <w:t>$</w:t>
            </w:r>
            <w:r>
              <w:t>38.0</w:t>
            </w:r>
            <w:r w:rsidRPr="008D3CDA">
              <w:t>M</w:t>
            </w:r>
          </w:p>
        </w:tc>
        <w:tc>
          <w:tcPr>
            <w:tcW w:w="1263" w:type="dxa"/>
            <w:shd w:val="clear" w:color="auto" w:fill="auto"/>
          </w:tcPr>
          <w:p w14:paraId="6AF98A20" w14:textId="03A2E440" w:rsidR="004B40BD" w:rsidRPr="008D3CDA" w:rsidRDefault="004B40BD" w:rsidP="004B40BD">
            <w:bookmarkStart w:id="15" w:name="OLE_LINK29"/>
            <w:bookmarkStart w:id="16" w:name="OLE_LINK30"/>
            <w:r>
              <w:rPr>
                <w:color w:val="0070C0"/>
              </w:rPr>
              <w:t xml:space="preserve">$ </w:t>
            </w:r>
            <w:r w:rsidRPr="004439C8">
              <w:rPr>
                <w:color w:val="0070C0"/>
              </w:rPr>
              <w:t>n/a</w:t>
            </w:r>
            <w:bookmarkEnd w:id="15"/>
            <w:bookmarkEnd w:id="16"/>
          </w:p>
        </w:tc>
        <w:tc>
          <w:tcPr>
            <w:tcW w:w="1230" w:type="dxa"/>
          </w:tcPr>
          <w:p w14:paraId="0234E298" w14:textId="0703A0FE" w:rsidR="004B40BD" w:rsidRPr="008D3CDA" w:rsidRDefault="004B40BD" w:rsidP="004B40BD">
            <w:bookmarkStart w:id="17" w:name="OLE_LINK31"/>
            <w:bookmarkStart w:id="18" w:name="OLE_LINK32"/>
            <w:r w:rsidRPr="004439C8">
              <w:rPr>
                <w:color w:val="0070C0"/>
              </w:rPr>
              <w:t>n/a</w:t>
            </w:r>
            <w:r>
              <w:rPr>
                <w:color w:val="0070C0"/>
              </w:rPr>
              <w:t xml:space="preserve"> %</w:t>
            </w:r>
            <w:bookmarkEnd w:id="17"/>
            <w:bookmarkEnd w:id="18"/>
          </w:p>
        </w:tc>
        <w:tc>
          <w:tcPr>
            <w:tcW w:w="1637" w:type="dxa"/>
          </w:tcPr>
          <w:p w14:paraId="41E58329" w14:textId="5773347D" w:rsidR="004B40BD" w:rsidRPr="002F754B" w:rsidRDefault="004B40BD" w:rsidP="004B40BD">
            <w:r>
              <w:t xml:space="preserve">Q1 2023 room tax filing revenue has not yet been posted in SAP as of </w:t>
            </w:r>
            <w:r w:rsidR="003734C8">
              <w:t>7/18/2023</w:t>
            </w:r>
            <w:r>
              <w:t>.  April 2023 reportable room revenue in Harris Govern system shows a 12% increase over April 2022</w:t>
            </w:r>
            <w:bookmarkStart w:id="19" w:name="OLE_LINK1"/>
            <w:bookmarkStart w:id="20" w:name="OLE_LINK2"/>
            <w:r>
              <w:t xml:space="preserve">. </w:t>
            </w:r>
            <w:bookmarkEnd w:id="19"/>
            <w:bookmarkEnd w:id="20"/>
          </w:p>
        </w:tc>
        <w:tc>
          <w:tcPr>
            <w:tcW w:w="1810" w:type="dxa"/>
          </w:tcPr>
          <w:p w14:paraId="1CE5A09A" w14:textId="71F13F6B" w:rsidR="004B40BD" w:rsidRPr="002F754B" w:rsidRDefault="001C7E3C" w:rsidP="004B40BD">
            <w:r>
              <w:t xml:space="preserve">Too early in quarterly reporting cycle to begin to project potential revenue variance.  Q2 2023 filing data will provide a preliminary partial indicator </w:t>
            </w:r>
            <w:bookmarkStart w:id="21" w:name="OLE_LINK19"/>
            <w:bookmarkStart w:id="22" w:name="OLE_LINK20"/>
            <w:r>
              <w:t>in 1</w:t>
            </w:r>
            <w:r w:rsidRPr="001C7E3C">
              <w:rPr>
                <w:vertAlign w:val="superscript"/>
              </w:rPr>
              <w:t>st</w:t>
            </w:r>
            <w:r>
              <w:t xml:space="preserve"> half of August 2023</w:t>
            </w:r>
            <w:bookmarkEnd w:id="21"/>
            <w:bookmarkEnd w:id="22"/>
            <w:r>
              <w:t xml:space="preserve">. </w:t>
            </w:r>
          </w:p>
        </w:tc>
        <w:tc>
          <w:tcPr>
            <w:tcW w:w="1553" w:type="dxa"/>
          </w:tcPr>
          <w:p w14:paraId="304F0339" w14:textId="269AEFCD" w:rsidR="004B40BD" w:rsidRPr="002F754B" w:rsidRDefault="004B40BD" w:rsidP="004B40BD">
            <w:r>
              <w:t xml:space="preserve">Room tax revenues are driven by extraordinary levels of pricing which </w:t>
            </w:r>
            <w:r w:rsidR="00DB4FCE">
              <w:t>have</w:t>
            </w:r>
            <w:r>
              <w:t xml:space="preserve"> not </w:t>
            </w:r>
            <w:r w:rsidR="00DB4FCE">
              <w:t>abated.</w:t>
            </w:r>
            <w:r>
              <w:t xml:space="preserve">  202</w:t>
            </w:r>
            <w:r w:rsidR="001C7E3C">
              <w:t>3 tourist season is expected to be strong per Visit Anchorage.</w:t>
            </w:r>
            <w:r>
              <w:t xml:space="preserve"> </w:t>
            </w:r>
            <w:r w:rsidR="001C7E3C">
              <w:t xml:space="preserve">2022 was a record year.  2023 </w:t>
            </w:r>
          </w:p>
        </w:tc>
      </w:tr>
      <w:tr w:rsidR="00AB52EA" w14:paraId="06AD13E6" w14:textId="77777777" w:rsidTr="00025029">
        <w:trPr>
          <w:trHeight w:val="1718"/>
        </w:trPr>
        <w:tc>
          <w:tcPr>
            <w:tcW w:w="1515" w:type="dxa"/>
          </w:tcPr>
          <w:p w14:paraId="0CC8770B" w14:textId="77777777" w:rsidR="004B40BD" w:rsidRDefault="004B40BD" w:rsidP="004B40BD">
            <w:pPr>
              <w:rPr>
                <w:b/>
                <w:bCs/>
              </w:rPr>
            </w:pPr>
            <w:bookmarkStart w:id="23" w:name="_Hlk111131003"/>
            <w:r w:rsidRPr="00A37031">
              <w:rPr>
                <w:b/>
                <w:bCs/>
              </w:rPr>
              <w:t>Rental Vehicle Tax</w:t>
            </w:r>
            <w:r>
              <w:rPr>
                <w:b/>
                <w:bCs/>
              </w:rPr>
              <w:t xml:space="preserve"> – </w:t>
            </w:r>
            <w:r w:rsidRPr="00D530DD">
              <w:rPr>
                <w:b/>
                <w:bCs/>
                <w:highlight w:val="lightGray"/>
              </w:rPr>
              <w:t>QUARTERLY REPORTED REVENUE</w:t>
            </w:r>
          </w:p>
          <w:p w14:paraId="65441B2D" w14:textId="77777777" w:rsidR="004B40BD" w:rsidRDefault="004B40BD" w:rsidP="004B40BD">
            <w:pPr>
              <w:rPr>
                <w:b/>
                <w:bCs/>
              </w:rPr>
            </w:pPr>
          </w:p>
          <w:p w14:paraId="2E73CFC5" w14:textId="5B668DAC" w:rsidR="004B40BD" w:rsidRPr="00A37031" w:rsidRDefault="004B40BD" w:rsidP="004B40BD">
            <w:pPr>
              <w:rPr>
                <w:b/>
                <w:bCs/>
              </w:rPr>
            </w:pPr>
            <w:r w:rsidRPr="00363646">
              <w:rPr>
                <w:b/>
                <w:bCs/>
                <w:sz w:val="16"/>
                <w:szCs w:val="16"/>
              </w:rPr>
              <w:t>(SAP acct 40</w:t>
            </w:r>
            <w:r>
              <w:rPr>
                <w:b/>
                <w:bCs/>
                <w:sz w:val="16"/>
                <w:szCs w:val="16"/>
              </w:rPr>
              <w:t>1130</w:t>
            </w:r>
            <w:r w:rsidRPr="00363646">
              <w:rPr>
                <w:b/>
                <w:bCs/>
                <w:sz w:val="16"/>
                <w:szCs w:val="16"/>
              </w:rPr>
              <w:t>)</w:t>
            </w:r>
          </w:p>
        </w:tc>
        <w:tc>
          <w:tcPr>
            <w:tcW w:w="1060" w:type="dxa"/>
          </w:tcPr>
          <w:p w14:paraId="54C6B1D0" w14:textId="41A62AF1" w:rsidR="004B40BD" w:rsidRDefault="004B40BD" w:rsidP="004B40BD">
            <w:r>
              <w:t>$12.6M</w:t>
            </w:r>
          </w:p>
        </w:tc>
        <w:tc>
          <w:tcPr>
            <w:tcW w:w="1101" w:type="dxa"/>
          </w:tcPr>
          <w:p w14:paraId="2BF67A48" w14:textId="0FF8C245" w:rsidR="004B40BD" w:rsidRDefault="004B40BD" w:rsidP="004B40BD">
            <w:r>
              <w:t>$10.0M</w:t>
            </w:r>
          </w:p>
        </w:tc>
        <w:tc>
          <w:tcPr>
            <w:tcW w:w="1263" w:type="dxa"/>
          </w:tcPr>
          <w:p w14:paraId="273808D5" w14:textId="3904B6F3" w:rsidR="004B40BD" w:rsidRPr="00E21AD1" w:rsidRDefault="004B40BD" w:rsidP="004B40BD">
            <w:r w:rsidRPr="00E21AD1">
              <w:t>$</w:t>
            </w:r>
            <w:r>
              <w:t>1.4</w:t>
            </w:r>
            <w:r w:rsidRPr="00E21AD1">
              <w:t>M</w:t>
            </w:r>
          </w:p>
          <w:p w14:paraId="29BDF21A" w14:textId="10A8704A" w:rsidR="004B40BD" w:rsidRPr="00E21AD1" w:rsidRDefault="004B40BD" w:rsidP="004B40BD"/>
        </w:tc>
        <w:tc>
          <w:tcPr>
            <w:tcW w:w="1230" w:type="dxa"/>
          </w:tcPr>
          <w:p w14:paraId="76FD9008" w14:textId="04EB5C47" w:rsidR="004B40BD" w:rsidRPr="00E21AD1" w:rsidRDefault="004B40BD" w:rsidP="004B40BD">
            <w:r w:rsidRPr="00E21AD1">
              <w:t>14%</w:t>
            </w:r>
            <w:r w:rsidRPr="00E21AD1">
              <w:br/>
            </w:r>
          </w:p>
        </w:tc>
        <w:tc>
          <w:tcPr>
            <w:tcW w:w="1637" w:type="dxa"/>
          </w:tcPr>
          <w:p w14:paraId="1B03938B" w14:textId="0FA8A9E2" w:rsidR="004B40BD" w:rsidRDefault="004B40BD" w:rsidP="004B40BD">
            <w:r>
              <w:t>Based on receipt of Q1 2023 actual filings</w:t>
            </w:r>
          </w:p>
          <w:p w14:paraId="788B72C5" w14:textId="00997AAB" w:rsidR="004B40BD" w:rsidRDefault="004B40BD" w:rsidP="004B40BD"/>
        </w:tc>
        <w:tc>
          <w:tcPr>
            <w:tcW w:w="1810" w:type="dxa"/>
          </w:tcPr>
          <w:p w14:paraId="2D9EA991" w14:textId="058F01C6" w:rsidR="004B40BD" w:rsidRDefault="004B40BD" w:rsidP="004B40BD">
            <w:bookmarkStart w:id="24" w:name="OLE_LINK21"/>
            <w:bookmarkStart w:id="25" w:name="OLE_LINK22"/>
            <w:bookmarkStart w:id="26" w:name="OLE_LINK17"/>
            <w:bookmarkStart w:id="27" w:name="OLE_LINK18"/>
            <w:r>
              <w:t xml:space="preserve">Too early in quarterly reporting cycle to begin to project potential revenue variance.  </w:t>
            </w:r>
            <w:bookmarkEnd w:id="24"/>
            <w:bookmarkEnd w:id="25"/>
            <w:r>
              <w:t xml:space="preserve">Q2 </w:t>
            </w:r>
            <w:r>
              <w:lastRenderedPageBreak/>
              <w:t>2023 filing data will provide a preliminary partial indicator</w:t>
            </w:r>
            <w:r w:rsidR="001C7E3C">
              <w:t xml:space="preserve"> in 1</w:t>
            </w:r>
            <w:r w:rsidR="001C7E3C" w:rsidRPr="001C7E3C">
              <w:rPr>
                <w:vertAlign w:val="superscript"/>
              </w:rPr>
              <w:t>st</w:t>
            </w:r>
            <w:r w:rsidR="001C7E3C">
              <w:t xml:space="preserve"> half of August 2023</w:t>
            </w:r>
            <w:r>
              <w:t>.</w:t>
            </w:r>
            <w:bookmarkEnd w:id="26"/>
            <w:bookmarkEnd w:id="27"/>
          </w:p>
          <w:p w14:paraId="18BEF71D" w14:textId="5D7D5E7C" w:rsidR="004B40BD" w:rsidRDefault="004B40BD" w:rsidP="004B40BD"/>
        </w:tc>
        <w:tc>
          <w:tcPr>
            <w:tcW w:w="1553" w:type="dxa"/>
          </w:tcPr>
          <w:p w14:paraId="711ADDA3" w14:textId="542EF0BA" w:rsidR="004B40BD" w:rsidRDefault="004B40BD" w:rsidP="004B40BD">
            <w:proofErr w:type="gramStart"/>
            <w:r>
              <w:lastRenderedPageBreak/>
              <w:t>Similar to</w:t>
            </w:r>
            <w:proofErr w:type="gramEnd"/>
            <w:r>
              <w:t xml:space="preserve"> assumptions and trends used for room tax (see above).  Note, however, </w:t>
            </w:r>
            <w:r w:rsidR="004F38FA">
              <w:lastRenderedPageBreak/>
              <w:t>magnitude of</w:t>
            </w:r>
            <w:r>
              <w:t xml:space="preserve"> price change</w:t>
            </w:r>
            <w:r w:rsidR="004F38FA">
              <w:t>s</w:t>
            </w:r>
            <w:r w:rsidR="00C77C6F">
              <w:t xml:space="preserve"> </w:t>
            </w:r>
            <w:r>
              <w:t xml:space="preserve">quarter-to-quarter </w:t>
            </w:r>
            <w:r w:rsidR="00C77C6F">
              <w:t xml:space="preserve">with rental vehicle tax tends to be greater </w:t>
            </w:r>
            <w:r>
              <w:t xml:space="preserve">than </w:t>
            </w:r>
            <w:r w:rsidR="004F38FA">
              <w:t xml:space="preserve">with </w:t>
            </w:r>
            <w:r>
              <w:t>room tax.</w:t>
            </w:r>
          </w:p>
        </w:tc>
      </w:tr>
      <w:tr w:rsidR="00AB52EA" w14:paraId="60FE9873" w14:textId="77777777" w:rsidTr="00025029">
        <w:trPr>
          <w:trHeight w:val="1718"/>
        </w:trPr>
        <w:tc>
          <w:tcPr>
            <w:tcW w:w="1515" w:type="dxa"/>
          </w:tcPr>
          <w:p w14:paraId="639615E0" w14:textId="77777777" w:rsidR="004B40BD" w:rsidRDefault="004B40BD" w:rsidP="004B40BD">
            <w:pPr>
              <w:rPr>
                <w:b/>
                <w:bCs/>
              </w:rPr>
            </w:pPr>
            <w:r w:rsidRPr="00A37031">
              <w:rPr>
                <w:b/>
                <w:bCs/>
              </w:rPr>
              <w:lastRenderedPageBreak/>
              <w:t>Rental Vehicle Tax</w:t>
            </w:r>
            <w:r>
              <w:rPr>
                <w:b/>
                <w:bCs/>
              </w:rPr>
              <w:t xml:space="preserve"> – Interest and Penalty</w:t>
            </w:r>
          </w:p>
          <w:p w14:paraId="0A1CB548" w14:textId="77777777" w:rsidR="004B40BD" w:rsidRDefault="004B40BD" w:rsidP="004B40BD">
            <w:pPr>
              <w:rPr>
                <w:b/>
                <w:bCs/>
              </w:rPr>
            </w:pPr>
          </w:p>
          <w:p w14:paraId="7D62BE63" w14:textId="216C76D6" w:rsidR="004B40BD" w:rsidRPr="00A37031" w:rsidRDefault="004B40BD" w:rsidP="004B40BD">
            <w:pPr>
              <w:rPr>
                <w:b/>
                <w:bCs/>
              </w:rPr>
            </w:pPr>
            <w:r w:rsidRPr="00363646">
              <w:rPr>
                <w:b/>
                <w:bCs/>
                <w:sz w:val="16"/>
                <w:szCs w:val="16"/>
              </w:rPr>
              <w:t>(SAP acct 40</w:t>
            </w:r>
            <w:r>
              <w:rPr>
                <w:b/>
                <w:bCs/>
                <w:sz w:val="16"/>
                <w:szCs w:val="16"/>
              </w:rPr>
              <w:t>1140</w:t>
            </w:r>
            <w:r w:rsidRPr="00363646">
              <w:rPr>
                <w:b/>
                <w:bCs/>
                <w:sz w:val="16"/>
                <w:szCs w:val="16"/>
              </w:rPr>
              <w:t>)</w:t>
            </w:r>
          </w:p>
        </w:tc>
        <w:tc>
          <w:tcPr>
            <w:tcW w:w="1060" w:type="dxa"/>
          </w:tcPr>
          <w:p w14:paraId="502ED57F" w14:textId="24B8C239" w:rsidR="004B40BD" w:rsidRDefault="004B40BD" w:rsidP="004B40BD">
            <w:r>
              <w:t>$</w:t>
            </w:r>
            <w:r w:rsidR="00C77C6F">
              <w:t>50</w:t>
            </w:r>
            <w:r>
              <w:t>3K</w:t>
            </w:r>
          </w:p>
        </w:tc>
        <w:tc>
          <w:tcPr>
            <w:tcW w:w="1101" w:type="dxa"/>
          </w:tcPr>
          <w:p w14:paraId="2FC15AF4" w14:textId="34D4F31E" w:rsidR="004B40BD" w:rsidRDefault="004B40BD" w:rsidP="004B40BD">
            <w:r>
              <w:t>$</w:t>
            </w:r>
            <w:r w:rsidR="00C77C6F">
              <w:t>3</w:t>
            </w:r>
            <w:r>
              <w:t>4K</w:t>
            </w:r>
          </w:p>
        </w:tc>
        <w:tc>
          <w:tcPr>
            <w:tcW w:w="1263" w:type="dxa"/>
          </w:tcPr>
          <w:p w14:paraId="27CB191C" w14:textId="05F5C9D5" w:rsidR="004B40BD" w:rsidRPr="008D3CDA" w:rsidRDefault="004B40BD" w:rsidP="004B40BD">
            <w:r w:rsidRPr="008D3CDA">
              <w:t>$</w:t>
            </w:r>
            <w:r w:rsidR="00C77C6F">
              <w:t>14</w:t>
            </w:r>
            <w:r w:rsidRPr="008D3CDA">
              <w:t>K</w:t>
            </w:r>
          </w:p>
          <w:p w14:paraId="358F122D" w14:textId="77777777" w:rsidR="004B40BD" w:rsidRPr="008D3CDA" w:rsidRDefault="004B40BD" w:rsidP="004B40BD"/>
        </w:tc>
        <w:tc>
          <w:tcPr>
            <w:tcW w:w="1230" w:type="dxa"/>
          </w:tcPr>
          <w:p w14:paraId="4CB91B5E" w14:textId="67AD4120" w:rsidR="004B40BD" w:rsidRPr="008D3CDA" w:rsidRDefault="00C77C6F" w:rsidP="004B40BD">
            <w:r>
              <w:t>41%</w:t>
            </w:r>
            <w:r w:rsidR="004B40BD" w:rsidRPr="008D3CDA">
              <w:br/>
            </w:r>
          </w:p>
        </w:tc>
        <w:tc>
          <w:tcPr>
            <w:tcW w:w="1637" w:type="dxa"/>
          </w:tcPr>
          <w:p w14:paraId="00363084" w14:textId="7BD4E877" w:rsidR="004B40BD" w:rsidRDefault="004B40BD" w:rsidP="004B40BD">
            <w:r>
              <w:t xml:space="preserve">Based on </w:t>
            </w:r>
            <w:r w:rsidR="00C77C6F">
              <w:t xml:space="preserve">SAP postings as of </w:t>
            </w:r>
            <w:r w:rsidR="003734C8">
              <w:t>7/18/2023</w:t>
            </w:r>
            <w:r w:rsidR="00C77C6F">
              <w:t>.</w:t>
            </w:r>
          </w:p>
        </w:tc>
        <w:tc>
          <w:tcPr>
            <w:tcW w:w="1810" w:type="dxa"/>
          </w:tcPr>
          <w:p w14:paraId="39EFE43D" w14:textId="3A9DE72E" w:rsidR="004B40BD" w:rsidRDefault="004B40BD" w:rsidP="004B40BD">
            <w:r>
              <w:t xml:space="preserve">Expected to </w:t>
            </w:r>
            <w:r w:rsidR="00C77C6F">
              <w:t>meet budget.</w:t>
            </w:r>
          </w:p>
          <w:p w14:paraId="4313B90D" w14:textId="77777777" w:rsidR="004B40BD" w:rsidRDefault="004B40BD" w:rsidP="004B40BD"/>
        </w:tc>
        <w:tc>
          <w:tcPr>
            <w:tcW w:w="1553" w:type="dxa"/>
          </w:tcPr>
          <w:p w14:paraId="66AEF51F" w14:textId="3555EA44" w:rsidR="004B40BD" w:rsidRDefault="00C77C6F" w:rsidP="004B40BD">
            <w:r>
              <w:t>YTD posting is on track to meet budget.</w:t>
            </w:r>
          </w:p>
        </w:tc>
      </w:tr>
      <w:tr w:rsidR="00AB52EA" w14:paraId="544BD219" w14:textId="77777777" w:rsidTr="00025029">
        <w:tc>
          <w:tcPr>
            <w:tcW w:w="1515" w:type="dxa"/>
          </w:tcPr>
          <w:p w14:paraId="52CBF370" w14:textId="77777777" w:rsidR="004B40BD" w:rsidRDefault="004B40BD" w:rsidP="004B40BD">
            <w:pPr>
              <w:rPr>
                <w:b/>
                <w:bCs/>
              </w:rPr>
            </w:pPr>
            <w:bookmarkStart w:id="28" w:name="_Hlk137674364"/>
            <w:bookmarkEnd w:id="23"/>
            <w:r w:rsidRPr="002122BF">
              <w:rPr>
                <w:b/>
                <w:bCs/>
              </w:rPr>
              <w:t>Tobacco Tax</w:t>
            </w:r>
          </w:p>
          <w:p w14:paraId="3ADBC457" w14:textId="77777777" w:rsidR="004B40BD" w:rsidRDefault="004B40BD" w:rsidP="004B40BD">
            <w:pPr>
              <w:rPr>
                <w:b/>
                <w:bCs/>
              </w:rPr>
            </w:pPr>
          </w:p>
          <w:p w14:paraId="38E10E96" w14:textId="4952B54B" w:rsidR="004B40BD" w:rsidRPr="00A37031" w:rsidRDefault="004B40BD" w:rsidP="004B40BD">
            <w:pPr>
              <w:rPr>
                <w:b/>
                <w:bCs/>
              </w:rPr>
            </w:pPr>
            <w:r w:rsidRPr="00363646">
              <w:rPr>
                <w:b/>
                <w:bCs/>
                <w:sz w:val="16"/>
                <w:szCs w:val="16"/>
              </w:rPr>
              <w:t>(SAP acct 40</w:t>
            </w:r>
            <w:r>
              <w:rPr>
                <w:b/>
                <w:bCs/>
                <w:sz w:val="16"/>
                <w:szCs w:val="16"/>
              </w:rPr>
              <w:t>1080</w:t>
            </w:r>
            <w:r w:rsidRPr="00363646">
              <w:rPr>
                <w:b/>
                <w:bCs/>
                <w:sz w:val="16"/>
                <w:szCs w:val="16"/>
              </w:rPr>
              <w:t>)</w:t>
            </w:r>
          </w:p>
        </w:tc>
        <w:tc>
          <w:tcPr>
            <w:tcW w:w="1060" w:type="dxa"/>
          </w:tcPr>
          <w:p w14:paraId="53DEFB92" w14:textId="4E8FEE0E" w:rsidR="004B40BD" w:rsidRDefault="004B40BD" w:rsidP="004B40BD">
            <w:r>
              <w:t>$2</w:t>
            </w:r>
            <w:r w:rsidR="00C77C6F">
              <w:t>1</w:t>
            </w:r>
            <w:r>
              <w:t>.</w:t>
            </w:r>
            <w:r w:rsidR="00C77C6F">
              <w:t>0</w:t>
            </w:r>
            <w:r>
              <w:t>M</w:t>
            </w:r>
          </w:p>
        </w:tc>
        <w:tc>
          <w:tcPr>
            <w:tcW w:w="1101" w:type="dxa"/>
          </w:tcPr>
          <w:p w14:paraId="2CF95487" w14:textId="0E68D3B7" w:rsidR="004B40BD" w:rsidRDefault="004B40BD" w:rsidP="004B40BD">
            <w:r>
              <w:t>$2</w:t>
            </w:r>
            <w:r w:rsidR="00C77C6F">
              <w:t>1.5</w:t>
            </w:r>
            <w:r>
              <w:t>M</w:t>
            </w:r>
          </w:p>
        </w:tc>
        <w:tc>
          <w:tcPr>
            <w:tcW w:w="1263" w:type="dxa"/>
            <w:shd w:val="clear" w:color="auto" w:fill="auto"/>
          </w:tcPr>
          <w:p w14:paraId="742C962F" w14:textId="4059C826" w:rsidR="004B40BD" w:rsidRPr="008D3CDA" w:rsidRDefault="004B40BD" w:rsidP="004B40BD">
            <w:pPr>
              <w:rPr>
                <w:color w:val="7030A0"/>
              </w:rPr>
            </w:pPr>
            <w:r w:rsidRPr="008D3CDA">
              <w:t>$</w:t>
            </w:r>
            <w:r w:rsidR="00E44B48">
              <w:t>8.6</w:t>
            </w:r>
            <w:r w:rsidRPr="008D3CDA">
              <w:t>M</w:t>
            </w:r>
          </w:p>
        </w:tc>
        <w:tc>
          <w:tcPr>
            <w:tcW w:w="1230" w:type="dxa"/>
            <w:shd w:val="clear" w:color="auto" w:fill="auto"/>
          </w:tcPr>
          <w:p w14:paraId="6D8A6C6D" w14:textId="37933F29" w:rsidR="004B40BD" w:rsidRPr="008D3CDA" w:rsidRDefault="00E44B48" w:rsidP="004B40BD">
            <w:r>
              <w:t>4</w:t>
            </w:r>
            <w:r w:rsidR="00C77C6F">
              <w:t>0</w:t>
            </w:r>
            <w:r w:rsidR="004B40BD" w:rsidRPr="008D3CDA">
              <w:t>%</w:t>
            </w:r>
          </w:p>
        </w:tc>
        <w:tc>
          <w:tcPr>
            <w:tcW w:w="1637" w:type="dxa"/>
          </w:tcPr>
          <w:p w14:paraId="726E8C67" w14:textId="074D244D" w:rsidR="004B40BD" w:rsidRDefault="007E70D2" w:rsidP="004B40BD">
            <w:r>
              <w:t>Based on 4 months of filings.</w:t>
            </w:r>
          </w:p>
        </w:tc>
        <w:tc>
          <w:tcPr>
            <w:tcW w:w="1810" w:type="dxa"/>
          </w:tcPr>
          <w:p w14:paraId="160D4089" w14:textId="13F50B04" w:rsidR="004B40BD" w:rsidRDefault="007E70D2" w:rsidP="004B40BD">
            <w:bookmarkStart w:id="29" w:name="OLE_LINK25"/>
            <w:bookmarkStart w:id="30" w:name="OLE_LINK26"/>
            <w:bookmarkStart w:id="31" w:name="OLE_LINK27"/>
            <w:bookmarkStart w:id="32" w:name="OLE_LINK28"/>
            <w:r>
              <w:t>YTD appears closely on track to meet budget</w:t>
            </w:r>
            <w:bookmarkEnd w:id="29"/>
            <w:bookmarkEnd w:id="30"/>
            <w:r>
              <w:t xml:space="preserve">, however too early in monthly reporting cycle to project potential revenue variance.  </w:t>
            </w:r>
            <w:bookmarkEnd w:id="31"/>
            <w:bookmarkEnd w:id="32"/>
            <w:r w:rsidR="004B40BD">
              <w:t>Year-end revenue is subject to timing of acquisitions by Distributors.</w:t>
            </w:r>
          </w:p>
        </w:tc>
        <w:tc>
          <w:tcPr>
            <w:tcW w:w="1553" w:type="dxa"/>
          </w:tcPr>
          <w:p w14:paraId="157177A7" w14:textId="0B685EDD" w:rsidR="004B40BD" w:rsidRDefault="004B40BD" w:rsidP="004B40BD">
            <w:r w:rsidRPr="00052275">
              <w:t>Tobacco tax remittances are historically higher during the summer months.</w:t>
            </w:r>
          </w:p>
        </w:tc>
      </w:tr>
      <w:tr w:rsidR="00397B6C" w14:paraId="770FE7F2" w14:textId="77777777" w:rsidTr="00025029">
        <w:tc>
          <w:tcPr>
            <w:tcW w:w="1515" w:type="dxa"/>
          </w:tcPr>
          <w:p w14:paraId="25A1F590" w14:textId="77777777" w:rsidR="007E70D2" w:rsidRDefault="007E70D2" w:rsidP="007E70D2">
            <w:pPr>
              <w:rPr>
                <w:b/>
                <w:bCs/>
              </w:rPr>
            </w:pPr>
            <w:bookmarkStart w:id="33" w:name="_Hlk128513254"/>
            <w:bookmarkEnd w:id="28"/>
            <w:r w:rsidRPr="002122BF">
              <w:rPr>
                <w:b/>
                <w:bCs/>
              </w:rPr>
              <w:t>Motor Fuel</w:t>
            </w:r>
            <w:r>
              <w:rPr>
                <w:b/>
                <w:bCs/>
              </w:rPr>
              <w:t xml:space="preserve"> Excise Tax</w:t>
            </w:r>
          </w:p>
          <w:p w14:paraId="7638FECB" w14:textId="77777777" w:rsidR="007E70D2" w:rsidRDefault="007E70D2" w:rsidP="007E70D2">
            <w:pPr>
              <w:rPr>
                <w:b/>
                <w:bCs/>
              </w:rPr>
            </w:pPr>
          </w:p>
          <w:p w14:paraId="0D153194" w14:textId="10B6F2C8" w:rsidR="007E70D2" w:rsidRPr="00A37031" w:rsidRDefault="007E70D2" w:rsidP="007E70D2">
            <w:pPr>
              <w:rPr>
                <w:b/>
                <w:bCs/>
              </w:rPr>
            </w:pPr>
            <w:r w:rsidRPr="00363646">
              <w:rPr>
                <w:b/>
                <w:bCs/>
                <w:sz w:val="16"/>
                <w:szCs w:val="16"/>
              </w:rPr>
              <w:t>(SAP acct 40</w:t>
            </w:r>
            <w:r>
              <w:rPr>
                <w:b/>
                <w:bCs/>
                <w:sz w:val="16"/>
                <w:szCs w:val="16"/>
              </w:rPr>
              <w:t>1150</w:t>
            </w:r>
            <w:r w:rsidRPr="00363646">
              <w:rPr>
                <w:b/>
                <w:bCs/>
                <w:sz w:val="16"/>
                <w:szCs w:val="16"/>
              </w:rPr>
              <w:t>)</w:t>
            </w:r>
          </w:p>
        </w:tc>
        <w:tc>
          <w:tcPr>
            <w:tcW w:w="1060" w:type="dxa"/>
          </w:tcPr>
          <w:p w14:paraId="011BB9DC" w14:textId="1F2E25A3" w:rsidR="007E70D2" w:rsidRDefault="007E70D2" w:rsidP="007E70D2">
            <w:r>
              <w:t>$12.0M</w:t>
            </w:r>
          </w:p>
        </w:tc>
        <w:tc>
          <w:tcPr>
            <w:tcW w:w="1101" w:type="dxa"/>
          </w:tcPr>
          <w:p w14:paraId="1FB5DE27" w14:textId="2708A085" w:rsidR="007E70D2" w:rsidRDefault="007E70D2" w:rsidP="007E70D2">
            <w:r>
              <w:t>$14.4M</w:t>
            </w:r>
          </w:p>
        </w:tc>
        <w:tc>
          <w:tcPr>
            <w:tcW w:w="1263" w:type="dxa"/>
          </w:tcPr>
          <w:p w14:paraId="1F183E9C" w14:textId="5B53CF66" w:rsidR="007E70D2" w:rsidRPr="006353D4" w:rsidRDefault="007E70D2" w:rsidP="007E70D2">
            <w:r w:rsidRPr="006353D4">
              <w:t>$</w:t>
            </w:r>
            <w:r w:rsidR="00E44B48">
              <w:t>5.6</w:t>
            </w:r>
            <w:r w:rsidRPr="006353D4">
              <w:t>M</w:t>
            </w:r>
          </w:p>
        </w:tc>
        <w:tc>
          <w:tcPr>
            <w:tcW w:w="1230" w:type="dxa"/>
          </w:tcPr>
          <w:p w14:paraId="0026ADBF" w14:textId="29500A21" w:rsidR="007E70D2" w:rsidRPr="006353D4" w:rsidRDefault="007E70D2" w:rsidP="007E70D2">
            <w:pPr>
              <w:rPr>
                <w:color w:val="7030A0"/>
              </w:rPr>
            </w:pPr>
            <w:r>
              <w:t>3</w:t>
            </w:r>
            <w:r w:rsidR="00E44B48">
              <w:t>9</w:t>
            </w:r>
            <w:r w:rsidRPr="006353D4">
              <w:t>%</w:t>
            </w:r>
          </w:p>
        </w:tc>
        <w:tc>
          <w:tcPr>
            <w:tcW w:w="1637" w:type="dxa"/>
          </w:tcPr>
          <w:p w14:paraId="66E423A8" w14:textId="3CC10E8A" w:rsidR="007E70D2" w:rsidRPr="000D4205" w:rsidRDefault="007E70D2" w:rsidP="007E70D2">
            <w:bookmarkStart w:id="34" w:name="OLE_LINK35"/>
            <w:bookmarkStart w:id="35" w:name="OLE_LINK36"/>
            <w:r>
              <w:t>Based on 4 months of filings.</w:t>
            </w:r>
            <w:bookmarkEnd w:id="34"/>
            <w:bookmarkEnd w:id="35"/>
          </w:p>
        </w:tc>
        <w:tc>
          <w:tcPr>
            <w:tcW w:w="1810" w:type="dxa"/>
          </w:tcPr>
          <w:p w14:paraId="5938CD1E" w14:textId="3FF7F166" w:rsidR="007E70D2" w:rsidRPr="000D4205" w:rsidRDefault="007E70D2" w:rsidP="007E70D2">
            <w:r>
              <w:t>YTD appears closely on track to meet budget, however too early in monthly reporting cycle to project potential revenue variance.</w:t>
            </w:r>
          </w:p>
        </w:tc>
        <w:tc>
          <w:tcPr>
            <w:tcW w:w="1553" w:type="dxa"/>
          </w:tcPr>
          <w:p w14:paraId="7321E9B6" w14:textId="2224AF7B" w:rsidR="007E70D2" w:rsidRDefault="007E70D2" w:rsidP="007E70D2">
            <w:r>
              <w:t>Seasonality impact exists. Fuel Excise Tax is based on gallons of fuel purchased, not on price per gallon.</w:t>
            </w:r>
            <w:r w:rsidR="00C56B6D">
              <w:t xml:space="preserve"> Federal Energy agency is forecasting less than 1% Year-over-Year increase in fuel consumption in 2023.</w:t>
            </w:r>
          </w:p>
        </w:tc>
      </w:tr>
      <w:bookmarkEnd w:id="33"/>
      <w:tr w:rsidR="00397B6C" w14:paraId="09F787C5" w14:textId="77777777" w:rsidTr="00025029">
        <w:trPr>
          <w:trHeight w:val="1412"/>
        </w:trPr>
        <w:tc>
          <w:tcPr>
            <w:tcW w:w="1515" w:type="dxa"/>
          </w:tcPr>
          <w:p w14:paraId="3A939039" w14:textId="77777777" w:rsidR="007C4584" w:rsidRDefault="007C4584" w:rsidP="007C4584">
            <w:pPr>
              <w:rPr>
                <w:b/>
                <w:bCs/>
              </w:rPr>
            </w:pPr>
            <w:r w:rsidRPr="002122BF">
              <w:rPr>
                <w:b/>
                <w:bCs/>
              </w:rPr>
              <w:lastRenderedPageBreak/>
              <w:t>Auto</w:t>
            </w:r>
            <w:r>
              <w:rPr>
                <w:b/>
                <w:bCs/>
              </w:rPr>
              <w:t xml:space="preserve"> Registration Tax</w:t>
            </w:r>
          </w:p>
          <w:p w14:paraId="7ACC147B" w14:textId="77777777" w:rsidR="007C4584" w:rsidRDefault="007C4584" w:rsidP="007C4584">
            <w:pPr>
              <w:rPr>
                <w:b/>
                <w:bCs/>
              </w:rPr>
            </w:pPr>
          </w:p>
          <w:p w14:paraId="2A87F16F" w14:textId="3B06CA5B" w:rsidR="007C4584" w:rsidRPr="00A37031" w:rsidRDefault="007C4584" w:rsidP="007C4584">
            <w:pPr>
              <w:rPr>
                <w:b/>
                <w:bCs/>
              </w:rPr>
            </w:pPr>
            <w:r w:rsidRPr="00363646">
              <w:rPr>
                <w:b/>
                <w:bCs/>
                <w:sz w:val="16"/>
                <w:szCs w:val="16"/>
              </w:rPr>
              <w:t>(SAP acct 40</w:t>
            </w:r>
            <w:r>
              <w:rPr>
                <w:b/>
                <w:bCs/>
                <w:sz w:val="16"/>
                <w:szCs w:val="16"/>
              </w:rPr>
              <w:t>1060</w:t>
            </w:r>
            <w:r w:rsidRPr="00363646">
              <w:rPr>
                <w:b/>
                <w:bCs/>
                <w:sz w:val="16"/>
                <w:szCs w:val="16"/>
              </w:rPr>
              <w:t>)</w:t>
            </w:r>
          </w:p>
        </w:tc>
        <w:tc>
          <w:tcPr>
            <w:tcW w:w="1060" w:type="dxa"/>
          </w:tcPr>
          <w:p w14:paraId="3C460B69" w14:textId="57E17763" w:rsidR="007C4584" w:rsidRDefault="007C4584" w:rsidP="007C4584">
            <w:r>
              <w:t>$11.1M</w:t>
            </w:r>
          </w:p>
        </w:tc>
        <w:tc>
          <w:tcPr>
            <w:tcW w:w="1101" w:type="dxa"/>
          </w:tcPr>
          <w:p w14:paraId="66309E0C" w14:textId="4E01936A" w:rsidR="007C4584" w:rsidRDefault="007C4584" w:rsidP="007C4584">
            <w:r>
              <w:t>$10.6M</w:t>
            </w:r>
          </w:p>
        </w:tc>
        <w:tc>
          <w:tcPr>
            <w:tcW w:w="1263" w:type="dxa"/>
          </w:tcPr>
          <w:p w14:paraId="722C2991" w14:textId="3DFF2BFF" w:rsidR="007C4584" w:rsidRPr="006353D4" w:rsidRDefault="007C4584" w:rsidP="007C4584">
            <w:bookmarkStart w:id="36" w:name="OLE_LINK44"/>
            <w:bookmarkStart w:id="37" w:name="OLE_LINK45"/>
            <w:r>
              <w:rPr>
                <w:color w:val="0070C0"/>
              </w:rPr>
              <w:t xml:space="preserve">$ </w:t>
            </w:r>
            <w:r w:rsidRPr="004439C8">
              <w:rPr>
                <w:color w:val="0070C0"/>
              </w:rPr>
              <w:t>n/a</w:t>
            </w:r>
            <w:bookmarkEnd w:id="36"/>
            <w:bookmarkEnd w:id="37"/>
          </w:p>
        </w:tc>
        <w:tc>
          <w:tcPr>
            <w:tcW w:w="1230" w:type="dxa"/>
          </w:tcPr>
          <w:p w14:paraId="23439F81" w14:textId="5288EB73" w:rsidR="007C4584" w:rsidRPr="006353D4" w:rsidRDefault="007C4584" w:rsidP="007C4584">
            <w:r w:rsidRPr="004439C8">
              <w:rPr>
                <w:color w:val="0070C0"/>
              </w:rPr>
              <w:t>n/a</w:t>
            </w:r>
            <w:r>
              <w:rPr>
                <w:color w:val="0070C0"/>
              </w:rPr>
              <w:t xml:space="preserve"> %</w:t>
            </w:r>
          </w:p>
        </w:tc>
        <w:tc>
          <w:tcPr>
            <w:tcW w:w="1637" w:type="dxa"/>
          </w:tcPr>
          <w:p w14:paraId="744AED34" w14:textId="7A4A7AA2" w:rsidR="007C4584" w:rsidRPr="00504770" w:rsidRDefault="007C4584" w:rsidP="007C4584">
            <w:r w:rsidRPr="00504770">
              <w:t>Based on</w:t>
            </w:r>
            <w:r>
              <w:t xml:space="preserve"> </w:t>
            </w:r>
            <w:r w:rsidR="00F35E67">
              <w:t>5</w:t>
            </w:r>
            <w:r>
              <w:t xml:space="preserve"> months of DMV payments to-be posted in SAP</w:t>
            </w:r>
            <w:r w:rsidRPr="00504770">
              <w:t>.</w:t>
            </w:r>
          </w:p>
        </w:tc>
        <w:tc>
          <w:tcPr>
            <w:tcW w:w="1810" w:type="dxa"/>
          </w:tcPr>
          <w:p w14:paraId="797ADFD2" w14:textId="52EA3523" w:rsidR="007C4584" w:rsidRPr="00052275" w:rsidRDefault="007C4584" w:rsidP="007C4584">
            <w:bookmarkStart w:id="38" w:name="OLE_LINK37"/>
            <w:bookmarkStart w:id="39" w:name="OLE_LINK38"/>
            <w:r>
              <w:t>YTD appears closely on track to meet budget, however too early in monthly reporting cycle to project potential revenue variance.</w:t>
            </w:r>
            <w:bookmarkEnd w:id="38"/>
            <w:bookmarkEnd w:id="39"/>
          </w:p>
        </w:tc>
        <w:tc>
          <w:tcPr>
            <w:tcW w:w="1553" w:type="dxa"/>
          </w:tcPr>
          <w:p w14:paraId="527BAE12" w14:textId="65317169" w:rsidR="007C4584" w:rsidRDefault="007C4584" w:rsidP="007C4584">
            <w:r>
              <w:t>202</w:t>
            </w:r>
            <w:r w:rsidR="007960C3">
              <w:t>3</w:t>
            </w:r>
            <w:r>
              <w:t xml:space="preserve"> r</w:t>
            </w:r>
            <w:r w:rsidRPr="002F7AFC">
              <w:t>ealiz</w:t>
            </w:r>
            <w:r>
              <w:t>ed revenue</w:t>
            </w:r>
            <w:r w:rsidRPr="002F7AFC">
              <w:t xml:space="preserve"> </w:t>
            </w:r>
            <w:r w:rsidR="007960C3">
              <w:t>is trailing same period in</w:t>
            </w:r>
            <w:r>
              <w:t xml:space="preserve"> </w:t>
            </w:r>
            <w:r w:rsidR="007960C3">
              <w:t>2022</w:t>
            </w:r>
            <w:r>
              <w:t xml:space="preserve"> </w:t>
            </w:r>
            <w:r w:rsidRPr="00F35E67">
              <w:t>by $</w:t>
            </w:r>
            <w:r w:rsidR="00F35E67" w:rsidRPr="00F35E67">
              <w:t>625</w:t>
            </w:r>
            <w:r w:rsidRPr="00F35E67">
              <w:t>K</w:t>
            </w:r>
            <w:r w:rsidR="003734C8">
              <w:t xml:space="preserve"> per DMV reporting</w:t>
            </w:r>
            <w:r w:rsidRPr="00F35E67">
              <w:t>.</w:t>
            </w:r>
          </w:p>
          <w:p w14:paraId="79E965E9" w14:textId="12F4C023" w:rsidR="007C4584" w:rsidRPr="00535BD7" w:rsidRDefault="007C4584" w:rsidP="007C4584">
            <w:pPr>
              <w:rPr>
                <w:highlight w:val="yellow"/>
              </w:rPr>
            </w:pPr>
          </w:p>
        </w:tc>
      </w:tr>
      <w:tr w:rsidR="00397B6C" w14:paraId="36DCC673" w14:textId="77777777" w:rsidTr="00025029">
        <w:tc>
          <w:tcPr>
            <w:tcW w:w="1515" w:type="dxa"/>
          </w:tcPr>
          <w:p w14:paraId="1575084A" w14:textId="77777777" w:rsidR="007C4584" w:rsidRDefault="007C4584" w:rsidP="007C4584">
            <w:pPr>
              <w:rPr>
                <w:b/>
                <w:bCs/>
              </w:rPr>
            </w:pPr>
            <w:r w:rsidRPr="002122BF">
              <w:rPr>
                <w:b/>
                <w:bCs/>
              </w:rPr>
              <w:t>Marijuana Tax</w:t>
            </w:r>
          </w:p>
          <w:p w14:paraId="3518877B" w14:textId="77777777" w:rsidR="007C4584" w:rsidRDefault="007C4584" w:rsidP="007C4584">
            <w:pPr>
              <w:rPr>
                <w:b/>
                <w:bCs/>
              </w:rPr>
            </w:pPr>
          </w:p>
          <w:p w14:paraId="10CB8EFF" w14:textId="2EAF6ABA" w:rsidR="007C4584" w:rsidRPr="00A37031" w:rsidRDefault="007C4584" w:rsidP="007C4584">
            <w:pPr>
              <w:rPr>
                <w:b/>
                <w:bCs/>
              </w:rPr>
            </w:pPr>
            <w:r w:rsidRPr="00363646">
              <w:rPr>
                <w:b/>
                <w:bCs/>
                <w:sz w:val="16"/>
                <w:szCs w:val="16"/>
              </w:rPr>
              <w:t>(SAP acct 40</w:t>
            </w:r>
            <w:r>
              <w:rPr>
                <w:b/>
                <w:bCs/>
                <w:sz w:val="16"/>
                <w:szCs w:val="16"/>
              </w:rPr>
              <w:t>1105</w:t>
            </w:r>
            <w:r w:rsidRPr="00363646">
              <w:rPr>
                <w:b/>
                <w:bCs/>
                <w:sz w:val="16"/>
                <w:szCs w:val="16"/>
              </w:rPr>
              <w:t>)</w:t>
            </w:r>
          </w:p>
        </w:tc>
        <w:tc>
          <w:tcPr>
            <w:tcW w:w="1060" w:type="dxa"/>
          </w:tcPr>
          <w:p w14:paraId="6C39916B" w14:textId="7D123FD0" w:rsidR="007C4584" w:rsidRDefault="007C4584" w:rsidP="007C4584">
            <w:r>
              <w:t>$5.</w:t>
            </w:r>
            <w:r w:rsidR="007960C3">
              <w:t>8</w:t>
            </w:r>
            <w:r>
              <w:t>M</w:t>
            </w:r>
          </w:p>
        </w:tc>
        <w:tc>
          <w:tcPr>
            <w:tcW w:w="1101" w:type="dxa"/>
          </w:tcPr>
          <w:p w14:paraId="778CAC54" w14:textId="4DB57E9D" w:rsidR="007C4584" w:rsidRDefault="007C4584" w:rsidP="007C4584">
            <w:r>
              <w:t>$</w:t>
            </w:r>
            <w:r w:rsidR="007960C3">
              <w:t>5.7</w:t>
            </w:r>
            <w:r>
              <w:t>M</w:t>
            </w:r>
          </w:p>
        </w:tc>
        <w:tc>
          <w:tcPr>
            <w:tcW w:w="1263" w:type="dxa"/>
          </w:tcPr>
          <w:p w14:paraId="6ABC1976" w14:textId="5C0587A8" w:rsidR="007C4584" w:rsidRPr="00B900E7" w:rsidRDefault="007C4584" w:rsidP="007C4584">
            <w:r w:rsidRPr="00B900E7">
              <w:t>$</w:t>
            </w:r>
            <w:r w:rsidR="007960C3">
              <w:t>2.</w:t>
            </w:r>
            <w:r w:rsidR="00F35E67">
              <w:t>3</w:t>
            </w:r>
            <w:r w:rsidRPr="00B900E7">
              <w:t>M</w:t>
            </w:r>
          </w:p>
        </w:tc>
        <w:tc>
          <w:tcPr>
            <w:tcW w:w="1230" w:type="dxa"/>
          </w:tcPr>
          <w:p w14:paraId="4D29A2F3" w14:textId="2A7A0E78" w:rsidR="007C4584" w:rsidRPr="00B900E7" w:rsidRDefault="00F35E67" w:rsidP="007C4584">
            <w:r>
              <w:t>40</w:t>
            </w:r>
            <w:r w:rsidR="007C4584" w:rsidRPr="00B900E7">
              <w:t>%</w:t>
            </w:r>
          </w:p>
        </w:tc>
        <w:tc>
          <w:tcPr>
            <w:tcW w:w="1637" w:type="dxa"/>
          </w:tcPr>
          <w:p w14:paraId="515D315F" w14:textId="7C363B29" w:rsidR="007C4584" w:rsidRDefault="007960C3" w:rsidP="007C4584">
            <w:r>
              <w:t xml:space="preserve">Based on </w:t>
            </w:r>
            <w:r w:rsidR="00F35E67">
              <w:t xml:space="preserve">6 </w:t>
            </w:r>
            <w:r>
              <w:t>months of filings.</w:t>
            </w:r>
          </w:p>
        </w:tc>
        <w:tc>
          <w:tcPr>
            <w:tcW w:w="1810" w:type="dxa"/>
          </w:tcPr>
          <w:p w14:paraId="7F3BF554" w14:textId="4B942457" w:rsidR="007C4584" w:rsidRPr="008373B4" w:rsidRDefault="007960C3" w:rsidP="007C4584">
            <w:pPr>
              <w:rPr>
                <w:highlight w:val="yellow"/>
              </w:rPr>
            </w:pPr>
            <w:bookmarkStart w:id="40" w:name="OLE_LINK42"/>
            <w:bookmarkStart w:id="41" w:name="OLE_LINK43"/>
            <w:bookmarkStart w:id="42" w:name="OLE_LINK46"/>
            <w:bookmarkStart w:id="43" w:name="OLE_LINK47"/>
            <w:r>
              <w:t xml:space="preserve">YTD appears closely on track to meet budget, </w:t>
            </w:r>
            <w:bookmarkEnd w:id="40"/>
            <w:bookmarkEnd w:id="41"/>
            <w:r>
              <w:t>however too early in monthly reporting cycle to project potential revenue variance.</w:t>
            </w:r>
            <w:bookmarkEnd w:id="42"/>
            <w:bookmarkEnd w:id="43"/>
          </w:p>
        </w:tc>
        <w:tc>
          <w:tcPr>
            <w:tcW w:w="1553" w:type="dxa"/>
          </w:tcPr>
          <w:p w14:paraId="3A3FA654" w14:textId="2EA222F2" w:rsidR="007C4584" w:rsidRPr="008373B4" w:rsidRDefault="007C4584" w:rsidP="007C4584">
            <w:pPr>
              <w:rPr>
                <w:highlight w:val="yellow"/>
              </w:rPr>
            </w:pPr>
            <w:bookmarkStart w:id="44" w:name="OLE_LINK48"/>
            <w:bookmarkStart w:id="45" w:name="OLE_LINK49"/>
            <w:r w:rsidRPr="00AF1A58">
              <w:t xml:space="preserve">Seasonal increases expected around major holiday, summer season </w:t>
            </w:r>
            <w:bookmarkEnd w:id="44"/>
            <w:bookmarkEnd w:id="45"/>
            <w:r w:rsidRPr="00AF1A58">
              <w:t>and PFD.</w:t>
            </w:r>
          </w:p>
        </w:tc>
      </w:tr>
      <w:tr w:rsidR="00397B6C" w14:paraId="2A2BDE67" w14:textId="77777777" w:rsidTr="00025029">
        <w:tc>
          <w:tcPr>
            <w:tcW w:w="1515" w:type="dxa"/>
          </w:tcPr>
          <w:p w14:paraId="17C4974F" w14:textId="77777777" w:rsidR="007C4584" w:rsidRDefault="007C4584" w:rsidP="007C4584">
            <w:pPr>
              <w:rPr>
                <w:b/>
                <w:bCs/>
              </w:rPr>
            </w:pPr>
            <w:r>
              <w:rPr>
                <w:b/>
                <w:bCs/>
              </w:rPr>
              <w:t>Municipal Assistance</w:t>
            </w:r>
          </w:p>
          <w:p w14:paraId="10FE169B" w14:textId="77777777" w:rsidR="007C4584" w:rsidRDefault="007C4584" w:rsidP="007C4584">
            <w:pPr>
              <w:rPr>
                <w:b/>
                <w:bCs/>
              </w:rPr>
            </w:pPr>
          </w:p>
          <w:p w14:paraId="33883193" w14:textId="3F335FB6" w:rsidR="007C4584" w:rsidRDefault="007C4584" w:rsidP="007C4584">
            <w:pPr>
              <w:rPr>
                <w:b/>
                <w:bCs/>
              </w:rPr>
            </w:pPr>
            <w:r w:rsidRPr="00363646">
              <w:rPr>
                <w:b/>
                <w:bCs/>
                <w:sz w:val="16"/>
                <w:szCs w:val="16"/>
              </w:rPr>
              <w:t>(SAP acct 40</w:t>
            </w:r>
            <w:r>
              <w:rPr>
                <w:b/>
                <w:bCs/>
                <w:sz w:val="16"/>
                <w:szCs w:val="16"/>
              </w:rPr>
              <w:t>5050</w:t>
            </w:r>
            <w:r w:rsidRPr="00363646">
              <w:rPr>
                <w:b/>
                <w:bCs/>
                <w:sz w:val="16"/>
                <w:szCs w:val="16"/>
              </w:rPr>
              <w:t>)</w:t>
            </w:r>
          </w:p>
        </w:tc>
        <w:tc>
          <w:tcPr>
            <w:tcW w:w="1060" w:type="dxa"/>
          </w:tcPr>
          <w:p w14:paraId="0AE2A73C" w14:textId="4DAD545F" w:rsidR="007C4584" w:rsidRDefault="007C4584" w:rsidP="007C4584">
            <w:r>
              <w:t>$</w:t>
            </w:r>
            <w:r w:rsidR="007960C3">
              <w:t>7.2</w:t>
            </w:r>
            <w:r>
              <w:t>M</w:t>
            </w:r>
          </w:p>
        </w:tc>
        <w:tc>
          <w:tcPr>
            <w:tcW w:w="1101" w:type="dxa"/>
          </w:tcPr>
          <w:p w14:paraId="34366048" w14:textId="6C3EE42C" w:rsidR="007C4584" w:rsidRDefault="007C4584" w:rsidP="007C4584">
            <w:r>
              <w:t>$</w:t>
            </w:r>
            <w:r w:rsidR="007960C3">
              <w:t>406K</w:t>
            </w:r>
          </w:p>
        </w:tc>
        <w:tc>
          <w:tcPr>
            <w:tcW w:w="1263" w:type="dxa"/>
          </w:tcPr>
          <w:p w14:paraId="2518842F" w14:textId="600B0BF7" w:rsidR="007C4584" w:rsidRPr="00247D5F" w:rsidRDefault="00AB52EA" w:rsidP="007C4584">
            <w:r w:rsidRPr="00AB52EA">
              <w:rPr>
                <w:color w:val="0070C0"/>
              </w:rPr>
              <w:t>$0.0M</w:t>
            </w:r>
          </w:p>
        </w:tc>
        <w:tc>
          <w:tcPr>
            <w:tcW w:w="1230" w:type="dxa"/>
          </w:tcPr>
          <w:p w14:paraId="3893CEFC" w14:textId="4CC9657B" w:rsidR="007C4584" w:rsidRPr="00247D5F" w:rsidRDefault="00AB52EA" w:rsidP="007C4584">
            <w:r>
              <w:t>0</w:t>
            </w:r>
            <w:r w:rsidR="007C4584" w:rsidRPr="00247D5F">
              <w:t>%</w:t>
            </w:r>
          </w:p>
        </w:tc>
        <w:tc>
          <w:tcPr>
            <w:tcW w:w="1637" w:type="dxa"/>
          </w:tcPr>
          <w:p w14:paraId="19787BD1" w14:textId="3333141F" w:rsidR="007C4584" w:rsidRDefault="007C4584" w:rsidP="007C4584">
            <w:r w:rsidRPr="00852D2F">
              <w:t xml:space="preserve">Based on SAP postings thru </w:t>
            </w:r>
            <w:r w:rsidR="003734C8">
              <w:t>7/18/2023</w:t>
            </w:r>
            <w:r w:rsidRPr="005A1232">
              <w:t>.</w:t>
            </w:r>
            <w:r>
              <w:t xml:space="preserve">  Alaska Municipal League (AML) and SOA Dept of Commerce, Community, and Economic </w:t>
            </w:r>
            <w:proofErr w:type="gramStart"/>
            <w:r>
              <w:t>Development  used</w:t>
            </w:r>
            <w:proofErr w:type="gramEnd"/>
            <w:r>
              <w:t xml:space="preserve"> as primary sources of projected revenue sharing amount.</w:t>
            </w:r>
          </w:p>
        </w:tc>
        <w:tc>
          <w:tcPr>
            <w:tcW w:w="1810" w:type="dxa"/>
          </w:tcPr>
          <w:p w14:paraId="3E32D00D" w14:textId="7DE52A50" w:rsidR="007C4584" w:rsidRDefault="00AB52EA" w:rsidP="007C4584">
            <w:r>
              <w:t>Too early to project variance due to insufficient posting activity.</w:t>
            </w:r>
          </w:p>
        </w:tc>
        <w:tc>
          <w:tcPr>
            <w:tcW w:w="1553" w:type="dxa"/>
          </w:tcPr>
          <w:p w14:paraId="3E64555E" w14:textId="50F8D012" w:rsidR="007C4584" w:rsidRPr="00855D65" w:rsidRDefault="007C4584" w:rsidP="007C4584">
            <w:r w:rsidRPr="00855D65">
              <w:t xml:space="preserve">SOA </w:t>
            </w:r>
            <w:r w:rsidR="00AB52EA">
              <w:t>expected to make payment to MOA following receipt of annual financial report from MOA for year-end 2022.</w:t>
            </w:r>
          </w:p>
        </w:tc>
      </w:tr>
      <w:tr w:rsidR="00397B6C" w14:paraId="79CF4CC4" w14:textId="77777777" w:rsidTr="00025029">
        <w:tc>
          <w:tcPr>
            <w:tcW w:w="1515" w:type="dxa"/>
          </w:tcPr>
          <w:p w14:paraId="0F99C867" w14:textId="77777777" w:rsidR="007C4584" w:rsidRDefault="007C4584" w:rsidP="007C4584">
            <w:pPr>
              <w:rPr>
                <w:b/>
                <w:bCs/>
              </w:rPr>
            </w:pPr>
            <w:r w:rsidRPr="002122BF">
              <w:rPr>
                <w:b/>
                <w:bCs/>
              </w:rPr>
              <w:t>APD Counter</w:t>
            </w:r>
            <w:r>
              <w:rPr>
                <w:b/>
                <w:bCs/>
              </w:rPr>
              <w:t xml:space="preserve"> Fines</w:t>
            </w:r>
          </w:p>
          <w:p w14:paraId="20FC2ED3" w14:textId="77777777" w:rsidR="007C4584" w:rsidRDefault="007C4584" w:rsidP="007C4584">
            <w:pPr>
              <w:rPr>
                <w:b/>
                <w:bCs/>
              </w:rPr>
            </w:pPr>
          </w:p>
          <w:p w14:paraId="3CE867FF" w14:textId="66462723" w:rsidR="007C4584" w:rsidRDefault="007C4584" w:rsidP="007C4584">
            <w:pPr>
              <w:rPr>
                <w:b/>
                <w:bCs/>
              </w:rPr>
            </w:pPr>
            <w:r w:rsidRPr="00363646">
              <w:rPr>
                <w:b/>
                <w:bCs/>
                <w:sz w:val="16"/>
                <w:szCs w:val="16"/>
              </w:rPr>
              <w:t>(SAP acct 40</w:t>
            </w:r>
            <w:r>
              <w:rPr>
                <w:b/>
                <w:bCs/>
                <w:sz w:val="16"/>
                <w:szCs w:val="16"/>
              </w:rPr>
              <w:t>7040</w:t>
            </w:r>
            <w:r w:rsidRPr="00363646">
              <w:rPr>
                <w:b/>
                <w:bCs/>
                <w:sz w:val="16"/>
                <w:szCs w:val="16"/>
              </w:rPr>
              <w:t>)</w:t>
            </w:r>
          </w:p>
        </w:tc>
        <w:tc>
          <w:tcPr>
            <w:tcW w:w="1060" w:type="dxa"/>
          </w:tcPr>
          <w:p w14:paraId="3AEA7AE0" w14:textId="7BE2BA34" w:rsidR="007C4584" w:rsidRDefault="007C4584" w:rsidP="007C4584">
            <w:r>
              <w:t>$</w:t>
            </w:r>
            <w:r w:rsidR="00AB52EA">
              <w:t>1.9</w:t>
            </w:r>
            <w:r>
              <w:t>M</w:t>
            </w:r>
          </w:p>
        </w:tc>
        <w:tc>
          <w:tcPr>
            <w:tcW w:w="1101" w:type="dxa"/>
          </w:tcPr>
          <w:p w14:paraId="5078CA07" w14:textId="72DA58B5" w:rsidR="007C4584" w:rsidRDefault="007C4584" w:rsidP="007C4584">
            <w:r>
              <w:t>$2.</w:t>
            </w:r>
            <w:r w:rsidR="00AB52EA">
              <w:t>0</w:t>
            </w:r>
            <w:r>
              <w:t>M</w:t>
            </w:r>
          </w:p>
        </w:tc>
        <w:tc>
          <w:tcPr>
            <w:tcW w:w="1263" w:type="dxa"/>
          </w:tcPr>
          <w:p w14:paraId="44EB428A" w14:textId="61805A01" w:rsidR="007C4584" w:rsidRPr="00247989" w:rsidRDefault="007C4584" w:rsidP="007C4584">
            <w:r w:rsidRPr="00247989">
              <w:t>$</w:t>
            </w:r>
            <w:r w:rsidR="00F35E67">
              <w:t>949K</w:t>
            </w:r>
          </w:p>
        </w:tc>
        <w:tc>
          <w:tcPr>
            <w:tcW w:w="1230" w:type="dxa"/>
          </w:tcPr>
          <w:p w14:paraId="1064735D" w14:textId="500B8476" w:rsidR="007C4584" w:rsidRPr="00247989" w:rsidRDefault="00F35E67" w:rsidP="007C4584">
            <w:r>
              <w:t>47</w:t>
            </w:r>
            <w:r w:rsidR="007C4584" w:rsidRPr="00247989">
              <w:t>%</w:t>
            </w:r>
          </w:p>
        </w:tc>
        <w:tc>
          <w:tcPr>
            <w:tcW w:w="1637" w:type="dxa"/>
          </w:tcPr>
          <w:p w14:paraId="78AA7858" w14:textId="6E908C48" w:rsidR="007C4584" w:rsidRDefault="007C4584" w:rsidP="007C4584">
            <w:r>
              <w:t xml:space="preserve">SAP currently reflects </w:t>
            </w:r>
            <w:r w:rsidR="00F35E67">
              <w:t xml:space="preserve">6 </w:t>
            </w:r>
            <w:r w:rsidRPr="00504770">
              <w:t xml:space="preserve">months of </w:t>
            </w:r>
            <w:r>
              <w:t xml:space="preserve">timely paid </w:t>
            </w:r>
            <w:r w:rsidR="00AB52EA">
              <w:t>2023</w:t>
            </w:r>
            <w:r>
              <w:t xml:space="preserve"> traffic citations.</w:t>
            </w:r>
          </w:p>
        </w:tc>
        <w:tc>
          <w:tcPr>
            <w:tcW w:w="1810" w:type="dxa"/>
          </w:tcPr>
          <w:p w14:paraId="3ED7C5B3" w14:textId="3EC2EFD4" w:rsidR="007C4584" w:rsidRPr="00670EB5" w:rsidRDefault="00AB52EA" w:rsidP="007C4584">
            <w:r>
              <w:t>YTD appears closely on track to meet budget.</w:t>
            </w:r>
          </w:p>
        </w:tc>
        <w:tc>
          <w:tcPr>
            <w:tcW w:w="1553" w:type="dxa"/>
          </w:tcPr>
          <w:p w14:paraId="76C83612" w14:textId="5D442259" w:rsidR="007C4584" w:rsidRPr="00535BD7" w:rsidRDefault="007C4584" w:rsidP="007C4584">
            <w:pPr>
              <w:rPr>
                <w:highlight w:val="yellow"/>
              </w:rPr>
            </w:pPr>
            <w:r w:rsidRPr="00446DAC">
              <w:t>Grant funds are used for traffic enforcement.</w:t>
            </w:r>
          </w:p>
        </w:tc>
      </w:tr>
      <w:tr w:rsidR="00397B6C" w14:paraId="2A3D126E" w14:textId="77777777" w:rsidTr="00025029">
        <w:tc>
          <w:tcPr>
            <w:tcW w:w="1515" w:type="dxa"/>
          </w:tcPr>
          <w:p w14:paraId="2D544F3E" w14:textId="77777777" w:rsidR="007C4584" w:rsidRDefault="007C4584" w:rsidP="007C4584">
            <w:pPr>
              <w:rPr>
                <w:b/>
                <w:bCs/>
              </w:rPr>
            </w:pPr>
            <w:r>
              <w:rPr>
                <w:b/>
                <w:bCs/>
              </w:rPr>
              <w:t xml:space="preserve">Ambulance Service Fees / SEMT </w:t>
            </w:r>
            <w:proofErr w:type="spellStart"/>
            <w:r>
              <w:rPr>
                <w:b/>
                <w:bCs/>
              </w:rPr>
              <w:t>reimb</w:t>
            </w:r>
            <w:proofErr w:type="spellEnd"/>
            <w:r>
              <w:rPr>
                <w:b/>
                <w:bCs/>
              </w:rPr>
              <w:t xml:space="preserve">. </w:t>
            </w:r>
            <w:r>
              <w:rPr>
                <w:b/>
                <w:bCs/>
              </w:rPr>
              <w:lastRenderedPageBreak/>
              <w:t>Revenues (combined)</w:t>
            </w:r>
          </w:p>
          <w:p w14:paraId="0202DC76" w14:textId="77777777" w:rsidR="007C4584" w:rsidRDefault="007C4584" w:rsidP="007C4584">
            <w:pPr>
              <w:rPr>
                <w:b/>
                <w:bCs/>
              </w:rPr>
            </w:pPr>
          </w:p>
          <w:p w14:paraId="234B17FF" w14:textId="5006F3F6" w:rsidR="007C4584" w:rsidRDefault="007C4584" w:rsidP="007C4584">
            <w:pPr>
              <w:rPr>
                <w:b/>
                <w:bCs/>
              </w:rPr>
            </w:pPr>
            <w:r w:rsidRPr="00363646">
              <w:rPr>
                <w:b/>
                <w:bCs/>
                <w:sz w:val="16"/>
                <w:szCs w:val="16"/>
              </w:rPr>
              <w:t xml:space="preserve">(SAP </w:t>
            </w:r>
            <w:r>
              <w:rPr>
                <w:b/>
                <w:bCs/>
                <w:sz w:val="16"/>
                <w:szCs w:val="16"/>
              </w:rPr>
              <w:t xml:space="preserve">rev </w:t>
            </w:r>
            <w:r w:rsidRPr="00363646">
              <w:rPr>
                <w:b/>
                <w:bCs/>
                <w:sz w:val="16"/>
                <w:szCs w:val="16"/>
              </w:rPr>
              <w:t>acct</w:t>
            </w:r>
            <w:r>
              <w:rPr>
                <w:b/>
                <w:bCs/>
                <w:sz w:val="16"/>
                <w:szCs w:val="16"/>
              </w:rPr>
              <w:t>s 405170,</w:t>
            </w:r>
            <w:r w:rsidRPr="00363646">
              <w:rPr>
                <w:b/>
                <w:bCs/>
                <w:sz w:val="16"/>
                <w:szCs w:val="16"/>
              </w:rPr>
              <w:t xml:space="preserve"> 4</w:t>
            </w:r>
            <w:r>
              <w:rPr>
                <w:b/>
                <w:bCs/>
                <w:sz w:val="16"/>
                <w:szCs w:val="16"/>
              </w:rPr>
              <w:t>06380</w:t>
            </w:r>
            <w:r w:rsidRPr="00363646">
              <w:rPr>
                <w:b/>
                <w:bCs/>
                <w:sz w:val="16"/>
                <w:szCs w:val="16"/>
              </w:rPr>
              <w:t>)</w:t>
            </w:r>
          </w:p>
        </w:tc>
        <w:tc>
          <w:tcPr>
            <w:tcW w:w="1060" w:type="dxa"/>
          </w:tcPr>
          <w:p w14:paraId="12E45107" w14:textId="6C82F0A6" w:rsidR="007C4584" w:rsidRDefault="007C4584" w:rsidP="007C4584">
            <w:r>
              <w:lastRenderedPageBreak/>
              <w:t>$</w:t>
            </w:r>
            <w:r w:rsidR="00CE37B5">
              <w:t>33.0</w:t>
            </w:r>
            <w:r>
              <w:t>M</w:t>
            </w:r>
          </w:p>
        </w:tc>
        <w:tc>
          <w:tcPr>
            <w:tcW w:w="1101" w:type="dxa"/>
          </w:tcPr>
          <w:p w14:paraId="5C0546A5" w14:textId="4E168B3D" w:rsidR="007C4584" w:rsidRPr="00FD7A0C" w:rsidRDefault="007C4584" w:rsidP="007C4584">
            <w:r w:rsidRPr="00FD7A0C">
              <w:t>$</w:t>
            </w:r>
            <w:r w:rsidR="00CE37B5">
              <w:t>22.2M</w:t>
            </w:r>
          </w:p>
        </w:tc>
        <w:tc>
          <w:tcPr>
            <w:tcW w:w="1263" w:type="dxa"/>
          </w:tcPr>
          <w:p w14:paraId="5173FE42" w14:textId="5237ED28" w:rsidR="007C4584" w:rsidRPr="0084155E" w:rsidRDefault="00CE37B5" w:rsidP="007C4584">
            <w:r>
              <w:t>$71K</w:t>
            </w:r>
          </w:p>
        </w:tc>
        <w:tc>
          <w:tcPr>
            <w:tcW w:w="1230" w:type="dxa"/>
          </w:tcPr>
          <w:p w14:paraId="69EE0D67" w14:textId="3FE433F3" w:rsidR="007C4584" w:rsidRPr="0084155E" w:rsidRDefault="00CE37B5" w:rsidP="007C4584">
            <w:r>
              <w:t>0.3</w:t>
            </w:r>
            <w:r w:rsidR="007C4584" w:rsidRPr="00FD7A0C">
              <w:t>%</w:t>
            </w:r>
          </w:p>
        </w:tc>
        <w:tc>
          <w:tcPr>
            <w:tcW w:w="1637" w:type="dxa"/>
          </w:tcPr>
          <w:p w14:paraId="6C852A0B" w14:textId="4AAA6324" w:rsidR="007C4584" w:rsidRPr="006A465A" w:rsidRDefault="007C4584" w:rsidP="007C4584">
            <w:r w:rsidRPr="00ED6E92">
              <w:t xml:space="preserve">Based on SAP postings as of </w:t>
            </w:r>
            <w:r w:rsidR="00F35E67">
              <w:t>7/18/2023</w:t>
            </w:r>
            <w:r>
              <w:t>.</w:t>
            </w:r>
          </w:p>
        </w:tc>
        <w:tc>
          <w:tcPr>
            <w:tcW w:w="1810" w:type="dxa"/>
          </w:tcPr>
          <w:p w14:paraId="4BAACAFA" w14:textId="2B52851E" w:rsidR="007C4584" w:rsidRPr="000D4205" w:rsidRDefault="00CE37B5" w:rsidP="007C4584">
            <w:r>
              <w:t xml:space="preserve">Too early to project variance due to </w:t>
            </w:r>
            <w:r>
              <w:lastRenderedPageBreak/>
              <w:t>insufficient posting activity.</w:t>
            </w:r>
          </w:p>
        </w:tc>
        <w:tc>
          <w:tcPr>
            <w:tcW w:w="1553" w:type="dxa"/>
            <w:shd w:val="clear" w:color="auto" w:fill="auto"/>
          </w:tcPr>
          <w:p w14:paraId="7239B0B5" w14:textId="5BEEFD42" w:rsidR="007C4584" w:rsidRPr="00BC5A0A" w:rsidRDefault="007C4584" w:rsidP="007C4584">
            <w:r w:rsidRPr="00BC5A0A">
              <w:lastRenderedPageBreak/>
              <w:t xml:space="preserve">Revenues are adjusted quarterly by Controller </w:t>
            </w:r>
            <w:r w:rsidRPr="00BC5A0A">
              <w:lastRenderedPageBreak/>
              <w:t>Division based on collectability.</w:t>
            </w:r>
          </w:p>
        </w:tc>
      </w:tr>
      <w:tr w:rsidR="00397B6C" w14:paraId="7D9129E8" w14:textId="77777777" w:rsidTr="00025029">
        <w:tc>
          <w:tcPr>
            <w:tcW w:w="1515" w:type="dxa"/>
          </w:tcPr>
          <w:p w14:paraId="2B3AA3A1" w14:textId="77777777" w:rsidR="007C4584" w:rsidRDefault="007C4584" w:rsidP="007C4584">
            <w:pPr>
              <w:rPr>
                <w:b/>
                <w:bCs/>
              </w:rPr>
            </w:pPr>
            <w:r>
              <w:rPr>
                <w:b/>
                <w:bCs/>
              </w:rPr>
              <w:lastRenderedPageBreak/>
              <w:t>MOA Trust Fund</w:t>
            </w:r>
          </w:p>
          <w:p w14:paraId="49959CC3" w14:textId="77777777" w:rsidR="007C4584" w:rsidRDefault="007C4584" w:rsidP="007C4584">
            <w:pPr>
              <w:rPr>
                <w:b/>
                <w:bCs/>
              </w:rPr>
            </w:pPr>
          </w:p>
          <w:p w14:paraId="2BC214D3" w14:textId="431AD436" w:rsidR="007C4584" w:rsidRDefault="007C4584" w:rsidP="007C4584">
            <w:pPr>
              <w:rPr>
                <w:b/>
                <w:bCs/>
              </w:rPr>
            </w:pPr>
            <w:r w:rsidRPr="00363646">
              <w:rPr>
                <w:b/>
                <w:bCs/>
                <w:sz w:val="16"/>
                <w:szCs w:val="16"/>
              </w:rPr>
              <w:t>(SAP acct 4</w:t>
            </w:r>
            <w:r>
              <w:rPr>
                <w:b/>
                <w:bCs/>
                <w:sz w:val="16"/>
                <w:szCs w:val="16"/>
              </w:rPr>
              <w:t>50040</w:t>
            </w:r>
            <w:r w:rsidRPr="00363646">
              <w:rPr>
                <w:b/>
                <w:bCs/>
                <w:sz w:val="16"/>
                <w:szCs w:val="16"/>
              </w:rPr>
              <w:t>)</w:t>
            </w:r>
          </w:p>
        </w:tc>
        <w:tc>
          <w:tcPr>
            <w:tcW w:w="1060" w:type="dxa"/>
          </w:tcPr>
          <w:p w14:paraId="4FA5A3D7" w14:textId="0882B0B5" w:rsidR="007C4584" w:rsidRDefault="007C4584" w:rsidP="007C4584">
            <w:r>
              <w:t>$1</w:t>
            </w:r>
            <w:r w:rsidR="00AB52EA">
              <w:t>7.1</w:t>
            </w:r>
            <w:r>
              <w:t>M</w:t>
            </w:r>
          </w:p>
        </w:tc>
        <w:tc>
          <w:tcPr>
            <w:tcW w:w="1101" w:type="dxa"/>
          </w:tcPr>
          <w:p w14:paraId="208B49FF" w14:textId="5FFBEC4B" w:rsidR="007C4584" w:rsidRDefault="007C4584" w:rsidP="007C4584">
            <w:r>
              <w:t>$1</w:t>
            </w:r>
            <w:r w:rsidR="00AB52EA">
              <w:t>6.3</w:t>
            </w:r>
            <w:r>
              <w:t>M</w:t>
            </w:r>
          </w:p>
        </w:tc>
        <w:tc>
          <w:tcPr>
            <w:tcW w:w="1263" w:type="dxa"/>
          </w:tcPr>
          <w:p w14:paraId="1AA27BC7" w14:textId="4D025C86" w:rsidR="007C4584" w:rsidRPr="00F35E67" w:rsidRDefault="00AB52EA" w:rsidP="007C4584">
            <w:r w:rsidRPr="00F35E67">
              <w:t xml:space="preserve">$ </w:t>
            </w:r>
            <w:r w:rsidR="00F35E67" w:rsidRPr="00F35E67">
              <w:t>14.9M</w:t>
            </w:r>
          </w:p>
        </w:tc>
        <w:tc>
          <w:tcPr>
            <w:tcW w:w="1230" w:type="dxa"/>
          </w:tcPr>
          <w:p w14:paraId="66734759" w14:textId="61B16C31" w:rsidR="007C4584" w:rsidRPr="00F35E67" w:rsidRDefault="00F35E67" w:rsidP="007C4584">
            <w:r w:rsidRPr="00F35E67">
              <w:t>91</w:t>
            </w:r>
            <w:r w:rsidR="00AB52EA" w:rsidRPr="00F35E67">
              <w:t xml:space="preserve"> %</w:t>
            </w:r>
          </w:p>
        </w:tc>
        <w:tc>
          <w:tcPr>
            <w:tcW w:w="1637" w:type="dxa"/>
          </w:tcPr>
          <w:p w14:paraId="6F851B2A" w14:textId="65B5697E" w:rsidR="007C4584" w:rsidRDefault="007C4584" w:rsidP="007C4584">
            <w:r>
              <w:t xml:space="preserve">Based on </w:t>
            </w:r>
            <w:r w:rsidR="00AB52EA">
              <w:t>2023</w:t>
            </w:r>
            <w:r>
              <w:t xml:space="preserve"> dividend amount calculated at 4.00% payout, consistent with AMC 6.50.060 calculation methodology.</w:t>
            </w:r>
          </w:p>
        </w:tc>
        <w:tc>
          <w:tcPr>
            <w:tcW w:w="1810" w:type="dxa"/>
          </w:tcPr>
          <w:p w14:paraId="6070016F" w14:textId="748E9976" w:rsidR="007C4584" w:rsidRDefault="007C4584" w:rsidP="007C4584">
            <w:r>
              <w:t xml:space="preserve">Expected to meet dollar amount cited in </w:t>
            </w:r>
            <w:r w:rsidR="00AB52EA">
              <w:t>2023</w:t>
            </w:r>
            <w:r>
              <w:t xml:space="preserve"> 1</w:t>
            </w:r>
            <w:r w:rsidRPr="00D869E0">
              <w:rPr>
                <w:vertAlign w:val="superscript"/>
              </w:rPr>
              <w:t>st</w:t>
            </w:r>
            <w:r>
              <w:t xml:space="preserve"> Quarter Budget Revision. </w:t>
            </w:r>
          </w:p>
        </w:tc>
        <w:tc>
          <w:tcPr>
            <w:tcW w:w="1553" w:type="dxa"/>
          </w:tcPr>
          <w:p w14:paraId="43F3DDCF" w14:textId="510DAE28" w:rsidR="007C4584" w:rsidRDefault="007C4584" w:rsidP="007C4584">
            <w:r>
              <w:t xml:space="preserve">Annual dividend calc is determined as of March 31 of each year.  </w:t>
            </w:r>
            <w:r w:rsidR="00AB52EA">
              <w:t xml:space="preserve">Through </w:t>
            </w:r>
            <w:r w:rsidR="00F35E67">
              <w:t>June</w:t>
            </w:r>
            <w:r w:rsidR="00AB52EA">
              <w:t>,</w:t>
            </w:r>
            <w:r>
              <w:t xml:space="preserve"> </w:t>
            </w:r>
            <w:r w:rsidR="00C56B6D" w:rsidRPr="00F35E67">
              <w:t>approx. $</w:t>
            </w:r>
            <w:r w:rsidR="00F35E67" w:rsidRPr="00F35E67">
              <w:t>14.9</w:t>
            </w:r>
            <w:r w:rsidR="00C56B6D" w:rsidRPr="00F35E67">
              <w:t xml:space="preserve">M </w:t>
            </w:r>
            <w:r w:rsidR="00AB52EA" w:rsidRPr="00F35E67">
              <w:t>has</w:t>
            </w:r>
            <w:r w:rsidR="00AB52EA">
              <w:t xml:space="preserve"> been</w:t>
            </w:r>
            <w:r>
              <w:t xml:space="preserve"> pai</w:t>
            </w:r>
            <w:r w:rsidR="00AB52EA">
              <w:t xml:space="preserve">d </w:t>
            </w:r>
            <w:r w:rsidR="00F35E67">
              <w:t xml:space="preserve">in </w:t>
            </w:r>
            <w:r w:rsidR="005A76EC">
              <w:t>2023 dividend payments</w:t>
            </w:r>
            <w:r>
              <w:t>.</w:t>
            </w:r>
          </w:p>
        </w:tc>
      </w:tr>
      <w:tr w:rsidR="00397B6C" w14:paraId="15A9EDA5" w14:textId="77777777" w:rsidTr="00025029">
        <w:tc>
          <w:tcPr>
            <w:tcW w:w="1515" w:type="dxa"/>
          </w:tcPr>
          <w:p w14:paraId="60C66A2F" w14:textId="77777777" w:rsidR="007C4584" w:rsidRDefault="007C4584" w:rsidP="007C4584">
            <w:pPr>
              <w:rPr>
                <w:b/>
                <w:bCs/>
              </w:rPr>
            </w:pPr>
            <w:proofErr w:type="spellStart"/>
            <w:r w:rsidRPr="00367C73">
              <w:rPr>
                <w:b/>
                <w:bCs/>
              </w:rPr>
              <w:t>Bldg</w:t>
            </w:r>
            <w:proofErr w:type="spellEnd"/>
            <w:r w:rsidRPr="00367C73">
              <w:rPr>
                <w:b/>
                <w:bCs/>
              </w:rPr>
              <w:t xml:space="preserve"> Safety Fund (163000)</w:t>
            </w:r>
          </w:p>
          <w:p w14:paraId="7515FC1D" w14:textId="77777777" w:rsidR="007C4584" w:rsidRDefault="007C4584" w:rsidP="007C4584">
            <w:pPr>
              <w:rPr>
                <w:b/>
                <w:bCs/>
              </w:rPr>
            </w:pPr>
          </w:p>
          <w:p w14:paraId="058B4333" w14:textId="00E6F57A" w:rsidR="007C4584" w:rsidRPr="00367C73" w:rsidRDefault="007C4584" w:rsidP="007C4584">
            <w:pPr>
              <w:rPr>
                <w:b/>
                <w:bCs/>
              </w:rPr>
            </w:pPr>
            <w:r>
              <w:rPr>
                <w:b/>
                <w:bCs/>
                <w:sz w:val="16"/>
                <w:szCs w:val="16"/>
              </w:rPr>
              <w:t>(</w:t>
            </w:r>
            <w:proofErr w:type="gramStart"/>
            <w:r>
              <w:rPr>
                <w:b/>
                <w:bCs/>
                <w:sz w:val="16"/>
                <w:szCs w:val="16"/>
              </w:rPr>
              <w:t>various</w:t>
            </w:r>
            <w:proofErr w:type="gramEnd"/>
            <w:r>
              <w:rPr>
                <w:b/>
                <w:bCs/>
                <w:sz w:val="16"/>
                <w:szCs w:val="16"/>
              </w:rPr>
              <w:t xml:space="preserve"> </w:t>
            </w:r>
            <w:r w:rsidRPr="00363646">
              <w:rPr>
                <w:b/>
                <w:bCs/>
                <w:sz w:val="16"/>
                <w:szCs w:val="16"/>
              </w:rPr>
              <w:t>SAP</w:t>
            </w:r>
            <w:r>
              <w:rPr>
                <w:b/>
                <w:bCs/>
                <w:sz w:val="16"/>
                <w:szCs w:val="16"/>
              </w:rPr>
              <w:t xml:space="preserve"> rev</w:t>
            </w:r>
            <w:r w:rsidRPr="00363646">
              <w:rPr>
                <w:b/>
                <w:bCs/>
                <w:sz w:val="16"/>
                <w:szCs w:val="16"/>
              </w:rPr>
              <w:t xml:space="preserve"> acct</w:t>
            </w:r>
            <w:r>
              <w:rPr>
                <w:b/>
                <w:bCs/>
                <w:sz w:val="16"/>
                <w:szCs w:val="16"/>
              </w:rPr>
              <w:t>s in Fund 163000)</w:t>
            </w:r>
            <w:r w:rsidRPr="00363646">
              <w:rPr>
                <w:b/>
                <w:bCs/>
                <w:sz w:val="16"/>
                <w:szCs w:val="16"/>
              </w:rPr>
              <w:t xml:space="preserve"> </w:t>
            </w:r>
          </w:p>
        </w:tc>
        <w:tc>
          <w:tcPr>
            <w:tcW w:w="1060" w:type="dxa"/>
          </w:tcPr>
          <w:p w14:paraId="4A9DACE8" w14:textId="7A39C032" w:rsidR="007C4584" w:rsidRPr="00367C73" w:rsidRDefault="007C4584" w:rsidP="007C4584">
            <w:r w:rsidRPr="00367C73">
              <w:t>$</w:t>
            </w:r>
            <w:r w:rsidR="005A76EC">
              <w:t>6.6</w:t>
            </w:r>
            <w:r w:rsidRPr="00367C73">
              <w:t>M</w:t>
            </w:r>
          </w:p>
        </w:tc>
        <w:tc>
          <w:tcPr>
            <w:tcW w:w="1101" w:type="dxa"/>
          </w:tcPr>
          <w:p w14:paraId="1DFF0EA9" w14:textId="13B07A8F" w:rsidR="007C4584" w:rsidRPr="00367C73" w:rsidRDefault="007C4584" w:rsidP="007C4584">
            <w:r w:rsidRPr="00367C73">
              <w:t>$5.</w:t>
            </w:r>
            <w:r w:rsidR="005A76EC">
              <w:t>3</w:t>
            </w:r>
            <w:r w:rsidRPr="00367C73">
              <w:t>M</w:t>
            </w:r>
          </w:p>
        </w:tc>
        <w:tc>
          <w:tcPr>
            <w:tcW w:w="1263" w:type="dxa"/>
          </w:tcPr>
          <w:p w14:paraId="5CE21CB8" w14:textId="4013BD67" w:rsidR="007C4584" w:rsidRPr="00FD7A0C" w:rsidRDefault="007C4584" w:rsidP="007C4584">
            <w:r w:rsidRPr="00FD7A0C">
              <w:t>$</w:t>
            </w:r>
            <w:r w:rsidR="000C7183">
              <w:t>3</w:t>
            </w:r>
            <w:r w:rsidR="005A76EC">
              <w:t>.</w:t>
            </w:r>
            <w:r w:rsidR="000C7183">
              <w:t>8</w:t>
            </w:r>
            <w:r w:rsidRPr="00FD7A0C">
              <w:t>M</w:t>
            </w:r>
          </w:p>
        </w:tc>
        <w:tc>
          <w:tcPr>
            <w:tcW w:w="1230" w:type="dxa"/>
          </w:tcPr>
          <w:p w14:paraId="6974A8F1" w14:textId="09AC3D23" w:rsidR="007C4584" w:rsidRPr="005E3300" w:rsidRDefault="000C7183" w:rsidP="007C4584">
            <w:r>
              <w:t>7</w:t>
            </w:r>
            <w:r w:rsidR="005A76EC">
              <w:t>1</w:t>
            </w:r>
            <w:r w:rsidR="007C4584" w:rsidRPr="00FD7A0C">
              <w:t>%</w:t>
            </w:r>
          </w:p>
        </w:tc>
        <w:tc>
          <w:tcPr>
            <w:tcW w:w="1637" w:type="dxa"/>
          </w:tcPr>
          <w:p w14:paraId="3B82072F" w14:textId="618D18A8" w:rsidR="007C4584" w:rsidRPr="00367C73" w:rsidRDefault="007C4584" w:rsidP="007C4584">
            <w:r w:rsidRPr="00367C73">
              <w:t xml:space="preserve">Based on SAP postings thru </w:t>
            </w:r>
            <w:r w:rsidR="003734C8">
              <w:t>7/1</w:t>
            </w:r>
            <w:r w:rsidR="000C7183">
              <w:t>9</w:t>
            </w:r>
            <w:r w:rsidR="003734C8">
              <w:t>/2023</w:t>
            </w:r>
            <w:r w:rsidRPr="00367C73">
              <w:t>.</w:t>
            </w:r>
          </w:p>
        </w:tc>
        <w:tc>
          <w:tcPr>
            <w:tcW w:w="1810" w:type="dxa"/>
            <w:shd w:val="clear" w:color="auto" w:fill="auto"/>
          </w:tcPr>
          <w:p w14:paraId="79A1EA8A" w14:textId="525DE88F" w:rsidR="007C4584" w:rsidRPr="00367C73" w:rsidRDefault="005A76EC" w:rsidP="007C4584">
            <w:r>
              <w:t>On track to meet or possibly exceed budget.</w:t>
            </w:r>
          </w:p>
          <w:p w14:paraId="065A638E" w14:textId="57AF42C8" w:rsidR="007C4584" w:rsidRPr="00763555" w:rsidRDefault="007C4584" w:rsidP="007C4584">
            <w:pPr>
              <w:rPr>
                <w:highlight w:val="yellow"/>
              </w:rPr>
            </w:pPr>
          </w:p>
        </w:tc>
        <w:tc>
          <w:tcPr>
            <w:tcW w:w="1553" w:type="dxa"/>
          </w:tcPr>
          <w:p w14:paraId="54A9EB04" w14:textId="0107A5BF" w:rsidR="007C4584" w:rsidRPr="00763555" w:rsidRDefault="007C4584" w:rsidP="007C4584">
            <w:pPr>
              <w:rPr>
                <w:highlight w:val="yellow"/>
              </w:rPr>
            </w:pPr>
            <w:r w:rsidRPr="00367C73">
              <w:t xml:space="preserve">Separate fund associated with Bldg. Permit Center. </w:t>
            </w:r>
          </w:p>
        </w:tc>
      </w:tr>
      <w:tr w:rsidR="00397B6C" w14:paraId="6EBA8813" w14:textId="77777777" w:rsidTr="00025029">
        <w:tc>
          <w:tcPr>
            <w:tcW w:w="1515" w:type="dxa"/>
          </w:tcPr>
          <w:p w14:paraId="4148960A" w14:textId="77777777" w:rsidR="007C4584" w:rsidRDefault="007C4584" w:rsidP="007C4584">
            <w:pPr>
              <w:rPr>
                <w:b/>
                <w:bCs/>
              </w:rPr>
            </w:pPr>
            <w:r w:rsidRPr="00FD7A0C">
              <w:rPr>
                <w:b/>
                <w:bCs/>
              </w:rPr>
              <w:t>Alcohol Retail</w:t>
            </w:r>
            <w:r w:rsidRPr="00367C73">
              <w:rPr>
                <w:b/>
                <w:bCs/>
              </w:rPr>
              <w:t xml:space="preserve"> Sales Tax (Fund 206000)</w:t>
            </w:r>
          </w:p>
          <w:p w14:paraId="518F426A" w14:textId="77777777" w:rsidR="007C4584" w:rsidRDefault="007C4584" w:rsidP="007C4584">
            <w:pPr>
              <w:rPr>
                <w:b/>
                <w:bCs/>
              </w:rPr>
            </w:pPr>
          </w:p>
          <w:p w14:paraId="1006F726" w14:textId="54E47B77" w:rsidR="007C4584" w:rsidRPr="00367C73" w:rsidRDefault="007C4584" w:rsidP="007C4584">
            <w:pPr>
              <w:rPr>
                <w:b/>
                <w:bCs/>
              </w:rPr>
            </w:pPr>
            <w:r w:rsidRPr="00363646">
              <w:rPr>
                <w:b/>
                <w:bCs/>
                <w:sz w:val="16"/>
                <w:szCs w:val="16"/>
              </w:rPr>
              <w:t xml:space="preserve">(SAP </w:t>
            </w:r>
            <w:r>
              <w:rPr>
                <w:b/>
                <w:bCs/>
                <w:sz w:val="16"/>
                <w:szCs w:val="16"/>
              </w:rPr>
              <w:t xml:space="preserve">rev </w:t>
            </w:r>
            <w:r w:rsidRPr="00363646">
              <w:rPr>
                <w:b/>
                <w:bCs/>
                <w:sz w:val="16"/>
                <w:szCs w:val="16"/>
              </w:rPr>
              <w:t>acct</w:t>
            </w:r>
            <w:r>
              <w:rPr>
                <w:b/>
                <w:bCs/>
                <w:sz w:val="16"/>
                <w:szCs w:val="16"/>
              </w:rPr>
              <w:t>s 401095,</w:t>
            </w:r>
            <w:r w:rsidRPr="00363646">
              <w:rPr>
                <w:b/>
                <w:bCs/>
                <w:sz w:val="16"/>
                <w:szCs w:val="16"/>
              </w:rPr>
              <w:t xml:space="preserve"> 4</w:t>
            </w:r>
            <w:r>
              <w:rPr>
                <w:b/>
                <w:bCs/>
                <w:sz w:val="16"/>
                <w:szCs w:val="16"/>
              </w:rPr>
              <w:t>01096, 401097</w:t>
            </w:r>
            <w:r w:rsidRPr="00363646">
              <w:rPr>
                <w:b/>
                <w:bCs/>
                <w:sz w:val="16"/>
                <w:szCs w:val="16"/>
              </w:rPr>
              <w:t>)</w:t>
            </w:r>
          </w:p>
        </w:tc>
        <w:tc>
          <w:tcPr>
            <w:tcW w:w="1060" w:type="dxa"/>
          </w:tcPr>
          <w:p w14:paraId="76442F6A" w14:textId="5E56C44D" w:rsidR="007C4584" w:rsidRPr="00367C73" w:rsidRDefault="007C4584" w:rsidP="007C4584">
            <w:r w:rsidRPr="00367C73">
              <w:t>$1</w:t>
            </w:r>
            <w:r w:rsidR="005A76EC">
              <w:t>6.2</w:t>
            </w:r>
            <w:r w:rsidRPr="00367C73">
              <w:t>M</w:t>
            </w:r>
          </w:p>
        </w:tc>
        <w:tc>
          <w:tcPr>
            <w:tcW w:w="1101" w:type="dxa"/>
          </w:tcPr>
          <w:p w14:paraId="30DBE1B5" w14:textId="07BCFF29" w:rsidR="007C4584" w:rsidRPr="00367C73" w:rsidRDefault="007C4584" w:rsidP="007C4584">
            <w:r w:rsidRPr="00367C73">
              <w:t>$1</w:t>
            </w:r>
            <w:r w:rsidR="00BA58CE">
              <w:t>6.0</w:t>
            </w:r>
            <w:r w:rsidRPr="00367C73">
              <w:t>M</w:t>
            </w:r>
          </w:p>
        </w:tc>
        <w:tc>
          <w:tcPr>
            <w:tcW w:w="1263" w:type="dxa"/>
          </w:tcPr>
          <w:p w14:paraId="7E6E9B51" w14:textId="5941F9CF" w:rsidR="007C4584" w:rsidRPr="00FD7A0C" w:rsidRDefault="007C4584" w:rsidP="007C4584">
            <w:r w:rsidRPr="00FD7A0C">
              <w:t>$</w:t>
            </w:r>
            <w:r w:rsidR="00F35E67">
              <w:t>6.2</w:t>
            </w:r>
            <w:r>
              <w:t>M</w:t>
            </w:r>
          </w:p>
        </w:tc>
        <w:tc>
          <w:tcPr>
            <w:tcW w:w="1230" w:type="dxa"/>
          </w:tcPr>
          <w:p w14:paraId="744965F6" w14:textId="18D2DD9B" w:rsidR="007C4584" w:rsidRPr="00FD7A0C" w:rsidRDefault="00F35E67" w:rsidP="007C4584">
            <w:r>
              <w:t>39</w:t>
            </w:r>
            <w:r w:rsidR="007C4584" w:rsidRPr="00FD7A0C">
              <w:t>%</w:t>
            </w:r>
          </w:p>
        </w:tc>
        <w:tc>
          <w:tcPr>
            <w:tcW w:w="1637" w:type="dxa"/>
          </w:tcPr>
          <w:p w14:paraId="3ED9922B" w14:textId="291D005B" w:rsidR="007C4584" w:rsidRPr="00763555" w:rsidRDefault="007C4584" w:rsidP="007C4584">
            <w:pPr>
              <w:rPr>
                <w:highlight w:val="yellow"/>
              </w:rPr>
            </w:pPr>
            <w:r>
              <w:t xml:space="preserve">Based on </w:t>
            </w:r>
            <w:r w:rsidR="00F35E67">
              <w:t xml:space="preserve">5 </w:t>
            </w:r>
            <w:r w:rsidRPr="00504770">
              <w:t xml:space="preserve">months of </w:t>
            </w:r>
            <w:r>
              <w:t xml:space="preserve"> payments posted in SAP for 202</w:t>
            </w:r>
            <w:r w:rsidR="005A76EC">
              <w:t>3</w:t>
            </w:r>
            <w:r>
              <w:t>.</w:t>
            </w:r>
          </w:p>
        </w:tc>
        <w:tc>
          <w:tcPr>
            <w:tcW w:w="1810" w:type="dxa"/>
          </w:tcPr>
          <w:p w14:paraId="3BC94294" w14:textId="5620F28A" w:rsidR="007C4584" w:rsidRPr="005E3300" w:rsidRDefault="00BA58CE" w:rsidP="007C4584">
            <w:r>
              <w:t>YTD appears closely on track to meet budget, however too early in monthly reporting cycle to project potential revenue variance.</w:t>
            </w:r>
          </w:p>
        </w:tc>
        <w:tc>
          <w:tcPr>
            <w:tcW w:w="1553" w:type="dxa"/>
          </w:tcPr>
          <w:p w14:paraId="330C0221" w14:textId="10BC1425" w:rsidR="007C4584" w:rsidRDefault="00CE37B5" w:rsidP="007C4584">
            <w:r w:rsidRPr="00AF1A58">
              <w:t>Seasonal increases expected around major holiday</w:t>
            </w:r>
            <w:r>
              <w:t xml:space="preserve">s and </w:t>
            </w:r>
            <w:r w:rsidRPr="00AF1A58">
              <w:t>summer season</w:t>
            </w:r>
            <w:r>
              <w:t>.</w:t>
            </w:r>
            <w:r w:rsidRPr="00AF1A58">
              <w:t xml:space="preserve"> </w:t>
            </w:r>
            <w:r w:rsidR="007C4584" w:rsidRPr="00367C73">
              <w:t xml:space="preserve">Separate, dedicated fund.  Projection amount includes tax, interest, </w:t>
            </w:r>
            <w:proofErr w:type="gramStart"/>
            <w:r w:rsidR="007C4584" w:rsidRPr="00367C73">
              <w:t>penalty</w:t>
            </w:r>
            <w:proofErr w:type="gramEnd"/>
            <w:r w:rsidR="007C4584" w:rsidRPr="00367C73">
              <w:t xml:space="preserve"> and misc. revenues posted to the Alcohol Fund in SAP.</w:t>
            </w:r>
          </w:p>
        </w:tc>
      </w:tr>
    </w:tbl>
    <w:p w14:paraId="35BA5BF7" w14:textId="77777777" w:rsidR="00E332C8" w:rsidRDefault="00E332C8" w:rsidP="00C92B4D"/>
    <w:sectPr w:rsidR="00E332C8" w:rsidSect="00D1245B">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5918" w14:textId="77777777" w:rsidR="00E41760" w:rsidRDefault="00E41760" w:rsidP="000A72EF">
      <w:pPr>
        <w:spacing w:after="0" w:line="240" w:lineRule="auto"/>
      </w:pPr>
      <w:r>
        <w:separator/>
      </w:r>
    </w:p>
  </w:endnote>
  <w:endnote w:type="continuationSeparator" w:id="0">
    <w:p w14:paraId="0D4BB95A" w14:textId="77777777" w:rsidR="00E41760" w:rsidRDefault="00E41760" w:rsidP="000A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99742"/>
      <w:docPartObj>
        <w:docPartGallery w:val="Page Numbers (Bottom of Page)"/>
        <w:docPartUnique/>
      </w:docPartObj>
    </w:sdtPr>
    <w:sdtEndPr/>
    <w:sdtContent>
      <w:sdt>
        <w:sdtPr>
          <w:id w:val="1728636285"/>
          <w:docPartObj>
            <w:docPartGallery w:val="Page Numbers (Top of Page)"/>
            <w:docPartUnique/>
          </w:docPartObj>
        </w:sdtPr>
        <w:sdtEndPr/>
        <w:sdtContent>
          <w:p w14:paraId="5BDB42DB" w14:textId="0137D1BC" w:rsidR="000A72EF" w:rsidRDefault="000A72EF">
            <w:pPr>
              <w:pStyle w:val="Footer"/>
              <w:jc w:val="center"/>
            </w:pPr>
            <w:r w:rsidRPr="000A72EF">
              <w:t xml:space="preserve">Page </w:t>
            </w:r>
            <w:r w:rsidRPr="000A72EF">
              <w:rPr>
                <w:sz w:val="24"/>
                <w:szCs w:val="24"/>
              </w:rPr>
              <w:fldChar w:fldCharType="begin"/>
            </w:r>
            <w:r w:rsidRPr="000A72EF">
              <w:instrText xml:space="preserve"> PAGE </w:instrText>
            </w:r>
            <w:r w:rsidRPr="000A72EF">
              <w:rPr>
                <w:sz w:val="24"/>
                <w:szCs w:val="24"/>
              </w:rPr>
              <w:fldChar w:fldCharType="separate"/>
            </w:r>
            <w:r w:rsidRPr="000A72EF">
              <w:rPr>
                <w:noProof/>
              </w:rPr>
              <w:t>2</w:t>
            </w:r>
            <w:r w:rsidRPr="000A72EF">
              <w:rPr>
                <w:sz w:val="24"/>
                <w:szCs w:val="24"/>
              </w:rPr>
              <w:fldChar w:fldCharType="end"/>
            </w:r>
            <w:r w:rsidRPr="000A72EF">
              <w:t xml:space="preserve"> of </w:t>
            </w:r>
            <w:r w:rsidR="00BF312D">
              <w:fldChar w:fldCharType="begin"/>
            </w:r>
            <w:r w:rsidR="00BF312D">
              <w:instrText xml:space="preserve"> NUMPAGES  </w:instrText>
            </w:r>
            <w:r w:rsidR="00BF312D">
              <w:fldChar w:fldCharType="separate"/>
            </w:r>
            <w:r w:rsidRPr="000A72EF">
              <w:rPr>
                <w:noProof/>
              </w:rPr>
              <w:t>2</w:t>
            </w:r>
            <w:r w:rsidR="00BF312D">
              <w:rPr>
                <w:noProof/>
              </w:rPr>
              <w:fldChar w:fldCharType="end"/>
            </w:r>
          </w:p>
        </w:sdtContent>
      </w:sdt>
    </w:sdtContent>
  </w:sdt>
  <w:p w14:paraId="165EA205" w14:textId="77777777" w:rsidR="000A72EF" w:rsidRDefault="000A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AC26" w14:textId="77777777" w:rsidR="00E41760" w:rsidRDefault="00E41760" w:rsidP="000A72EF">
      <w:pPr>
        <w:spacing w:after="0" w:line="240" w:lineRule="auto"/>
      </w:pPr>
      <w:r>
        <w:separator/>
      </w:r>
    </w:p>
  </w:footnote>
  <w:footnote w:type="continuationSeparator" w:id="0">
    <w:p w14:paraId="16795607" w14:textId="77777777" w:rsidR="00E41760" w:rsidRDefault="00E41760" w:rsidP="000A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8763E"/>
    <w:multiLevelType w:val="hybridMultilevel"/>
    <w:tmpl w:val="FDE4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01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C8"/>
    <w:rsid w:val="0001102A"/>
    <w:rsid w:val="000128A5"/>
    <w:rsid w:val="00025029"/>
    <w:rsid w:val="000336E7"/>
    <w:rsid w:val="000465BF"/>
    <w:rsid w:val="00052275"/>
    <w:rsid w:val="00060A37"/>
    <w:rsid w:val="000633BC"/>
    <w:rsid w:val="00065FE9"/>
    <w:rsid w:val="00070EC1"/>
    <w:rsid w:val="0008646B"/>
    <w:rsid w:val="00090C83"/>
    <w:rsid w:val="00094B64"/>
    <w:rsid w:val="000A3FB9"/>
    <w:rsid w:val="000A4AAD"/>
    <w:rsid w:val="000A6B90"/>
    <w:rsid w:val="000A72EF"/>
    <w:rsid w:val="000B083E"/>
    <w:rsid w:val="000B1458"/>
    <w:rsid w:val="000B15C1"/>
    <w:rsid w:val="000C627A"/>
    <w:rsid w:val="000C7183"/>
    <w:rsid w:val="000D4205"/>
    <w:rsid w:val="000E3620"/>
    <w:rsid w:val="000F33DE"/>
    <w:rsid w:val="000F4D6D"/>
    <w:rsid w:val="000F6DAD"/>
    <w:rsid w:val="001044B4"/>
    <w:rsid w:val="0012275D"/>
    <w:rsid w:val="0012608F"/>
    <w:rsid w:val="00134FE2"/>
    <w:rsid w:val="001364C8"/>
    <w:rsid w:val="00152E84"/>
    <w:rsid w:val="00154007"/>
    <w:rsid w:val="001552B1"/>
    <w:rsid w:val="00157648"/>
    <w:rsid w:val="001743E2"/>
    <w:rsid w:val="001820E2"/>
    <w:rsid w:val="001835FD"/>
    <w:rsid w:val="001B0F84"/>
    <w:rsid w:val="001C396F"/>
    <w:rsid w:val="001C58E8"/>
    <w:rsid w:val="001C732C"/>
    <w:rsid w:val="001C7E3C"/>
    <w:rsid w:val="001E7475"/>
    <w:rsid w:val="00201675"/>
    <w:rsid w:val="002122BF"/>
    <w:rsid w:val="002216E0"/>
    <w:rsid w:val="00227163"/>
    <w:rsid w:val="00230350"/>
    <w:rsid w:val="00240E91"/>
    <w:rsid w:val="0024134C"/>
    <w:rsid w:val="002454A6"/>
    <w:rsid w:val="00247989"/>
    <w:rsid w:val="00247D5F"/>
    <w:rsid w:val="002575D1"/>
    <w:rsid w:val="002628BC"/>
    <w:rsid w:val="00263160"/>
    <w:rsid w:val="002700EA"/>
    <w:rsid w:val="00271385"/>
    <w:rsid w:val="00282B96"/>
    <w:rsid w:val="00291D45"/>
    <w:rsid w:val="002925A3"/>
    <w:rsid w:val="002947C6"/>
    <w:rsid w:val="00296012"/>
    <w:rsid w:val="002A5943"/>
    <w:rsid w:val="002B5DC1"/>
    <w:rsid w:val="002C1922"/>
    <w:rsid w:val="002C6736"/>
    <w:rsid w:val="002C760D"/>
    <w:rsid w:val="002D484F"/>
    <w:rsid w:val="002D648A"/>
    <w:rsid w:val="002E1719"/>
    <w:rsid w:val="002F6B70"/>
    <w:rsid w:val="002F7135"/>
    <w:rsid w:val="002F754B"/>
    <w:rsid w:val="002F7AFC"/>
    <w:rsid w:val="00301396"/>
    <w:rsid w:val="00302CA4"/>
    <w:rsid w:val="00305817"/>
    <w:rsid w:val="003162E1"/>
    <w:rsid w:val="003217BD"/>
    <w:rsid w:val="00323C15"/>
    <w:rsid w:val="00337A5A"/>
    <w:rsid w:val="00344A92"/>
    <w:rsid w:val="003505EF"/>
    <w:rsid w:val="0036160A"/>
    <w:rsid w:val="00363646"/>
    <w:rsid w:val="00367C73"/>
    <w:rsid w:val="00371064"/>
    <w:rsid w:val="003734C8"/>
    <w:rsid w:val="00373EDF"/>
    <w:rsid w:val="0037679A"/>
    <w:rsid w:val="003768AD"/>
    <w:rsid w:val="00397B6C"/>
    <w:rsid w:val="00397D77"/>
    <w:rsid w:val="003A20EC"/>
    <w:rsid w:val="003A3F30"/>
    <w:rsid w:val="003A76CC"/>
    <w:rsid w:val="003B2DC5"/>
    <w:rsid w:val="003B46DC"/>
    <w:rsid w:val="003C1780"/>
    <w:rsid w:val="003D47BF"/>
    <w:rsid w:val="003D5A3D"/>
    <w:rsid w:val="003D7340"/>
    <w:rsid w:val="003D7800"/>
    <w:rsid w:val="003E41D3"/>
    <w:rsid w:val="003E4BE9"/>
    <w:rsid w:val="003E530A"/>
    <w:rsid w:val="003E596B"/>
    <w:rsid w:val="003F4CC9"/>
    <w:rsid w:val="004045EE"/>
    <w:rsid w:val="0041181C"/>
    <w:rsid w:val="0042212E"/>
    <w:rsid w:val="00433574"/>
    <w:rsid w:val="00433A29"/>
    <w:rsid w:val="00434136"/>
    <w:rsid w:val="004350BA"/>
    <w:rsid w:val="004439C8"/>
    <w:rsid w:val="00446DAC"/>
    <w:rsid w:val="00466860"/>
    <w:rsid w:val="00471498"/>
    <w:rsid w:val="004721B0"/>
    <w:rsid w:val="00475CC5"/>
    <w:rsid w:val="004778C2"/>
    <w:rsid w:val="004827FE"/>
    <w:rsid w:val="00491A01"/>
    <w:rsid w:val="004A04FC"/>
    <w:rsid w:val="004A0676"/>
    <w:rsid w:val="004A06E1"/>
    <w:rsid w:val="004A4F9E"/>
    <w:rsid w:val="004A6137"/>
    <w:rsid w:val="004A6784"/>
    <w:rsid w:val="004B40BD"/>
    <w:rsid w:val="004C5727"/>
    <w:rsid w:val="004D0453"/>
    <w:rsid w:val="004E0FDC"/>
    <w:rsid w:val="004E30DE"/>
    <w:rsid w:val="004E3D27"/>
    <w:rsid w:val="004E6595"/>
    <w:rsid w:val="004F38FA"/>
    <w:rsid w:val="00504770"/>
    <w:rsid w:val="00507F55"/>
    <w:rsid w:val="00515F5D"/>
    <w:rsid w:val="00525DF7"/>
    <w:rsid w:val="00535BD7"/>
    <w:rsid w:val="005370E2"/>
    <w:rsid w:val="00553389"/>
    <w:rsid w:val="005535D4"/>
    <w:rsid w:val="00553644"/>
    <w:rsid w:val="00571E2B"/>
    <w:rsid w:val="00582D68"/>
    <w:rsid w:val="005871F9"/>
    <w:rsid w:val="00587937"/>
    <w:rsid w:val="005922C7"/>
    <w:rsid w:val="005A0927"/>
    <w:rsid w:val="005A1232"/>
    <w:rsid w:val="005A3AB0"/>
    <w:rsid w:val="005A76EC"/>
    <w:rsid w:val="005D07AE"/>
    <w:rsid w:val="005D0CD3"/>
    <w:rsid w:val="005D443F"/>
    <w:rsid w:val="005E3300"/>
    <w:rsid w:val="005E6768"/>
    <w:rsid w:val="005E6F7E"/>
    <w:rsid w:val="005F3B46"/>
    <w:rsid w:val="005F602E"/>
    <w:rsid w:val="00601043"/>
    <w:rsid w:val="006047DC"/>
    <w:rsid w:val="00604B14"/>
    <w:rsid w:val="0061056F"/>
    <w:rsid w:val="00612845"/>
    <w:rsid w:val="0061773B"/>
    <w:rsid w:val="0062064D"/>
    <w:rsid w:val="00620DC5"/>
    <w:rsid w:val="0062141E"/>
    <w:rsid w:val="006347AB"/>
    <w:rsid w:val="00634F7D"/>
    <w:rsid w:val="006353D4"/>
    <w:rsid w:val="00635F7E"/>
    <w:rsid w:val="00636A52"/>
    <w:rsid w:val="00645878"/>
    <w:rsid w:val="0064742C"/>
    <w:rsid w:val="00647BEA"/>
    <w:rsid w:val="00655107"/>
    <w:rsid w:val="006558E6"/>
    <w:rsid w:val="0065690A"/>
    <w:rsid w:val="006651A6"/>
    <w:rsid w:val="00665709"/>
    <w:rsid w:val="00665732"/>
    <w:rsid w:val="0066736E"/>
    <w:rsid w:val="00670EB5"/>
    <w:rsid w:val="006770DA"/>
    <w:rsid w:val="00680E0E"/>
    <w:rsid w:val="006A2460"/>
    <w:rsid w:val="006A31BB"/>
    <w:rsid w:val="006A465A"/>
    <w:rsid w:val="006B0342"/>
    <w:rsid w:val="006B0CF0"/>
    <w:rsid w:val="006C6270"/>
    <w:rsid w:val="006C69A8"/>
    <w:rsid w:val="006E2674"/>
    <w:rsid w:val="006E65FE"/>
    <w:rsid w:val="006F08C7"/>
    <w:rsid w:val="00703ED4"/>
    <w:rsid w:val="0070402B"/>
    <w:rsid w:val="007100D6"/>
    <w:rsid w:val="007256A7"/>
    <w:rsid w:val="00736783"/>
    <w:rsid w:val="00743D57"/>
    <w:rsid w:val="0074697D"/>
    <w:rsid w:val="00750880"/>
    <w:rsid w:val="00763555"/>
    <w:rsid w:val="007724C1"/>
    <w:rsid w:val="007734CD"/>
    <w:rsid w:val="00790426"/>
    <w:rsid w:val="0079135F"/>
    <w:rsid w:val="007960C3"/>
    <w:rsid w:val="007A0AA2"/>
    <w:rsid w:val="007A5CD4"/>
    <w:rsid w:val="007B1D44"/>
    <w:rsid w:val="007B4220"/>
    <w:rsid w:val="007B51CC"/>
    <w:rsid w:val="007B7236"/>
    <w:rsid w:val="007C1473"/>
    <w:rsid w:val="007C4584"/>
    <w:rsid w:val="007D2D4E"/>
    <w:rsid w:val="007D319F"/>
    <w:rsid w:val="007D7B03"/>
    <w:rsid w:val="007E5E3D"/>
    <w:rsid w:val="007E5F25"/>
    <w:rsid w:val="007E70D2"/>
    <w:rsid w:val="00817FEE"/>
    <w:rsid w:val="00820C01"/>
    <w:rsid w:val="00823856"/>
    <w:rsid w:val="00824FA0"/>
    <w:rsid w:val="0083021D"/>
    <w:rsid w:val="008308B9"/>
    <w:rsid w:val="008373B4"/>
    <w:rsid w:val="008414BF"/>
    <w:rsid w:val="0084155E"/>
    <w:rsid w:val="008453CA"/>
    <w:rsid w:val="00852D2F"/>
    <w:rsid w:val="008542BE"/>
    <w:rsid w:val="00854D88"/>
    <w:rsid w:val="00855D65"/>
    <w:rsid w:val="0086051C"/>
    <w:rsid w:val="00864B99"/>
    <w:rsid w:val="00873A4A"/>
    <w:rsid w:val="008767DD"/>
    <w:rsid w:val="0088342F"/>
    <w:rsid w:val="00887AE4"/>
    <w:rsid w:val="00890BED"/>
    <w:rsid w:val="008A360F"/>
    <w:rsid w:val="008B0F3B"/>
    <w:rsid w:val="008B43AD"/>
    <w:rsid w:val="008B53B4"/>
    <w:rsid w:val="008B71F5"/>
    <w:rsid w:val="008C0B0B"/>
    <w:rsid w:val="008C0EE8"/>
    <w:rsid w:val="008C1428"/>
    <w:rsid w:val="008C142E"/>
    <w:rsid w:val="008C19CF"/>
    <w:rsid w:val="008D0620"/>
    <w:rsid w:val="008D3CDA"/>
    <w:rsid w:val="008D756F"/>
    <w:rsid w:val="008E4398"/>
    <w:rsid w:val="008E7816"/>
    <w:rsid w:val="008E7D8A"/>
    <w:rsid w:val="008F183F"/>
    <w:rsid w:val="008F1E78"/>
    <w:rsid w:val="0090151D"/>
    <w:rsid w:val="00901AAC"/>
    <w:rsid w:val="00907510"/>
    <w:rsid w:val="009077AB"/>
    <w:rsid w:val="009167F4"/>
    <w:rsid w:val="00920635"/>
    <w:rsid w:val="009275AA"/>
    <w:rsid w:val="009316E8"/>
    <w:rsid w:val="00941A49"/>
    <w:rsid w:val="00942425"/>
    <w:rsid w:val="00947590"/>
    <w:rsid w:val="0097051C"/>
    <w:rsid w:val="009768A8"/>
    <w:rsid w:val="00980448"/>
    <w:rsid w:val="00987F61"/>
    <w:rsid w:val="009962F9"/>
    <w:rsid w:val="009A139C"/>
    <w:rsid w:val="009A7974"/>
    <w:rsid w:val="009B243B"/>
    <w:rsid w:val="009C1AB5"/>
    <w:rsid w:val="009C208D"/>
    <w:rsid w:val="009C44C6"/>
    <w:rsid w:val="009E093B"/>
    <w:rsid w:val="009E29A8"/>
    <w:rsid w:val="009E3170"/>
    <w:rsid w:val="009E411E"/>
    <w:rsid w:val="009E60E3"/>
    <w:rsid w:val="009F27B5"/>
    <w:rsid w:val="009F3E45"/>
    <w:rsid w:val="009F4FC3"/>
    <w:rsid w:val="009F71BB"/>
    <w:rsid w:val="00A01F8F"/>
    <w:rsid w:val="00A12D69"/>
    <w:rsid w:val="00A145DD"/>
    <w:rsid w:val="00A20AEA"/>
    <w:rsid w:val="00A20B50"/>
    <w:rsid w:val="00A221D5"/>
    <w:rsid w:val="00A23E29"/>
    <w:rsid w:val="00A23EB6"/>
    <w:rsid w:val="00A320C0"/>
    <w:rsid w:val="00A34F99"/>
    <w:rsid w:val="00A37031"/>
    <w:rsid w:val="00A4339E"/>
    <w:rsid w:val="00A44BD7"/>
    <w:rsid w:val="00A47DE4"/>
    <w:rsid w:val="00A52FBB"/>
    <w:rsid w:val="00A65DEE"/>
    <w:rsid w:val="00A747B2"/>
    <w:rsid w:val="00A75B02"/>
    <w:rsid w:val="00A84337"/>
    <w:rsid w:val="00A85424"/>
    <w:rsid w:val="00A92139"/>
    <w:rsid w:val="00A96EFA"/>
    <w:rsid w:val="00AA3F51"/>
    <w:rsid w:val="00AB52EA"/>
    <w:rsid w:val="00AB7326"/>
    <w:rsid w:val="00AC2FB6"/>
    <w:rsid w:val="00AD2152"/>
    <w:rsid w:val="00AD5A6F"/>
    <w:rsid w:val="00AE0315"/>
    <w:rsid w:val="00AE1466"/>
    <w:rsid w:val="00AE4A9C"/>
    <w:rsid w:val="00AE50B4"/>
    <w:rsid w:val="00AE5B12"/>
    <w:rsid w:val="00AF1A58"/>
    <w:rsid w:val="00AF4621"/>
    <w:rsid w:val="00B07907"/>
    <w:rsid w:val="00B12C24"/>
    <w:rsid w:val="00B133E2"/>
    <w:rsid w:val="00B21C0A"/>
    <w:rsid w:val="00B3230E"/>
    <w:rsid w:val="00B40550"/>
    <w:rsid w:val="00B42A3F"/>
    <w:rsid w:val="00B46917"/>
    <w:rsid w:val="00B509D8"/>
    <w:rsid w:val="00B52D8A"/>
    <w:rsid w:val="00B544C6"/>
    <w:rsid w:val="00B62D92"/>
    <w:rsid w:val="00B7142E"/>
    <w:rsid w:val="00B73815"/>
    <w:rsid w:val="00B77817"/>
    <w:rsid w:val="00B82CD9"/>
    <w:rsid w:val="00B839B6"/>
    <w:rsid w:val="00B900E7"/>
    <w:rsid w:val="00B92489"/>
    <w:rsid w:val="00BA58CE"/>
    <w:rsid w:val="00BC10B2"/>
    <w:rsid w:val="00BC5A0A"/>
    <w:rsid w:val="00BC74D7"/>
    <w:rsid w:val="00BC7AB0"/>
    <w:rsid w:val="00BD54E3"/>
    <w:rsid w:val="00BF312D"/>
    <w:rsid w:val="00BF4DD2"/>
    <w:rsid w:val="00C001BE"/>
    <w:rsid w:val="00C02AB2"/>
    <w:rsid w:val="00C05859"/>
    <w:rsid w:val="00C065A2"/>
    <w:rsid w:val="00C06615"/>
    <w:rsid w:val="00C11C76"/>
    <w:rsid w:val="00C16765"/>
    <w:rsid w:val="00C17573"/>
    <w:rsid w:val="00C31289"/>
    <w:rsid w:val="00C3501A"/>
    <w:rsid w:val="00C56B6D"/>
    <w:rsid w:val="00C62A17"/>
    <w:rsid w:val="00C77C6F"/>
    <w:rsid w:val="00C918D2"/>
    <w:rsid w:val="00C92B4D"/>
    <w:rsid w:val="00C94EF7"/>
    <w:rsid w:val="00C97420"/>
    <w:rsid w:val="00CA1D5D"/>
    <w:rsid w:val="00CA42A8"/>
    <w:rsid w:val="00CA4990"/>
    <w:rsid w:val="00CC6720"/>
    <w:rsid w:val="00CC7C02"/>
    <w:rsid w:val="00CD47F4"/>
    <w:rsid w:val="00CE37B5"/>
    <w:rsid w:val="00CF0E97"/>
    <w:rsid w:val="00CF3512"/>
    <w:rsid w:val="00CF7EAF"/>
    <w:rsid w:val="00D10D7F"/>
    <w:rsid w:val="00D1245B"/>
    <w:rsid w:val="00D12C79"/>
    <w:rsid w:val="00D4433D"/>
    <w:rsid w:val="00D530DD"/>
    <w:rsid w:val="00D563BC"/>
    <w:rsid w:val="00D657FC"/>
    <w:rsid w:val="00D706FC"/>
    <w:rsid w:val="00D869E0"/>
    <w:rsid w:val="00D92B2A"/>
    <w:rsid w:val="00DA0F82"/>
    <w:rsid w:val="00DA3DEA"/>
    <w:rsid w:val="00DB4FCE"/>
    <w:rsid w:val="00DC4227"/>
    <w:rsid w:val="00DC5ABC"/>
    <w:rsid w:val="00DC6DF9"/>
    <w:rsid w:val="00DD4016"/>
    <w:rsid w:val="00DD431D"/>
    <w:rsid w:val="00DF0019"/>
    <w:rsid w:val="00DF0343"/>
    <w:rsid w:val="00DF3FDE"/>
    <w:rsid w:val="00E01CF6"/>
    <w:rsid w:val="00E01FD5"/>
    <w:rsid w:val="00E038D9"/>
    <w:rsid w:val="00E03E24"/>
    <w:rsid w:val="00E05B92"/>
    <w:rsid w:val="00E061BD"/>
    <w:rsid w:val="00E21AD1"/>
    <w:rsid w:val="00E256EE"/>
    <w:rsid w:val="00E26AB4"/>
    <w:rsid w:val="00E332C8"/>
    <w:rsid w:val="00E351FE"/>
    <w:rsid w:val="00E41760"/>
    <w:rsid w:val="00E44B48"/>
    <w:rsid w:val="00E456AE"/>
    <w:rsid w:val="00E5385B"/>
    <w:rsid w:val="00E53E77"/>
    <w:rsid w:val="00E66899"/>
    <w:rsid w:val="00E66F9D"/>
    <w:rsid w:val="00E860D2"/>
    <w:rsid w:val="00E87A68"/>
    <w:rsid w:val="00E97AA8"/>
    <w:rsid w:val="00EB3BC0"/>
    <w:rsid w:val="00EB6F8D"/>
    <w:rsid w:val="00EC1E7D"/>
    <w:rsid w:val="00EC7066"/>
    <w:rsid w:val="00ED6E92"/>
    <w:rsid w:val="00EE04D8"/>
    <w:rsid w:val="00EE0D52"/>
    <w:rsid w:val="00F0470F"/>
    <w:rsid w:val="00F05EA0"/>
    <w:rsid w:val="00F06987"/>
    <w:rsid w:val="00F06C7D"/>
    <w:rsid w:val="00F1223A"/>
    <w:rsid w:val="00F13228"/>
    <w:rsid w:val="00F13ADE"/>
    <w:rsid w:val="00F16D12"/>
    <w:rsid w:val="00F27463"/>
    <w:rsid w:val="00F30947"/>
    <w:rsid w:val="00F35523"/>
    <w:rsid w:val="00F35941"/>
    <w:rsid w:val="00F35E67"/>
    <w:rsid w:val="00F51489"/>
    <w:rsid w:val="00F7423A"/>
    <w:rsid w:val="00F81073"/>
    <w:rsid w:val="00F84A6C"/>
    <w:rsid w:val="00F9217D"/>
    <w:rsid w:val="00FA591B"/>
    <w:rsid w:val="00FB699C"/>
    <w:rsid w:val="00FB74D7"/>
    <w:rsid w:val="00FC12F7"/>
    <w:rsid w:val="00FC15C7"/>
    <w:rsid w:val="00FC3CE0"/>
    <w:rsid w:val="00FD2414"/>
    <w:rsid w:val="00FD67DA"/>
    <w:rsid w:val="00FD7A0C"/>
    <w:rsid w:val="00FE0880"/>
    <w:rsid w:val="00FE7B0B"/>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FD85"/>
  <w15:docId w15:val="{BE760CED-B650-4BFA-99D3-A8431992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C8"/>
    <w:pPr>
      <w:ind w:left="720"/>
      <w:contextualSpacing/>
    </w:pPr>
  </w:style>
  <w:style w:type="table" w:styleId="TableGrid">
    <w:name w:val="Table Grid"/>
    <w:basedOn w:val="TableNormal"/>
    <w:uiPriority w:val="39"/>
    <w:rsid w:val="006A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03"/>
    <w:rPr>
      <w:rFonts w:ascii="Segoe UI" w:hAnsi="Segoe UI" w:cs="Segoe UI"/>
      <w:sz w:val="18"/>
      <w:szCs w:val="18"/>
    </w:rPr>
  </w:style>
  <w:style w:type="paragraph" w:styleId="Header">
    <w:name w:val="header"/>
    <w:basedOn w:val="Normal"/>
    <w:link w:val="HeaderChar"/>
    <w:uiPriority w:val="99"/>
    <w:unhideWhenUsed/>
    <w:rsid w:val="000A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EF"/>
  </w:style>
  <w:style w:type="paragraph" w:styleId="Footer">
    <w:name w:val="footer"/>
    <w:basedOn w:val="Normal"/>
    <w:link w:val="FooterChar"/>
    <w:uiPriority w:val="99"/>
    <w:unhideWhenUsed/>
    <w:rsid w:val="000A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A3A875721F14CA7335BC7252BBF28" ma:contentTypeVersion="1" ma:contentTypeDescription="Create a new document." ma:contentTypeScope="" ma:versionID="7303a55e8901e720ce206d4cf7801143">
  <xsd:schema xmlns:xsd="http://www.w3.org/2001/XMLSchema" xmlns:xs="http://www.w3.org/2001/XMLSchema" xmlns:p="http://schemas.microsoft.com/office/2006/metadata/properties" xmlns:ns2="c2cd5102-672f-4cb7-8a8f-d88cffe52635" targetNamespace="http://schemas.microsoft.com/office/2006/metadata/properties" ma:root="true" ma:fieldsID="abf25cbce7c244ec2862868844407a23"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908ED-8CDD-48FF-BDF4-1370E8850BF8}"/>
</file>

<file path=customXml/itemProps2.xml><?xml version="1.0" encoding="utf-8"?>
<ds:datastoreItem xmlns:ds="http://schemas.openxmlformats.org/officeDocument/2006/customXml" ds:itemID="{37711AE1-28B6-4822-BA04-42CA9FE6F66F}">
  <ds:schemaRefs>
    <ds:schemaRef ds:uri="http://schemas.microsoft.com/sharepoint/v3/contenttype/forms"/>
  </ds:schemaRefs>
</ds:datastoreItem>
</file>

<file path=customXml/itemProps3.xml><?xml version="1.0" encoding="utf-8"?>
<ds:datastoreItem xmlns:ds="http://schemas.openxmlformats.org/officeDocument/2006/customXml" ds:itemID="{6FF8B6E2-93C5-46E1-B0DC-A991ECA39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Daniel A.</dc:creator>
  <cp:keywords/>
  <dc:description/>
  <cp:lastModifiedBy>Cipriano, Glenn W.</cp:lastModifiedBy>
  <cp:revision>12</cp:revision>
  <cp:lastPrinted>2023-07-19T22:48:00Z</cp:lastPrinted>
  <dcterms:created xsi:type="dcterms:W3CDTF">2023-07-18T21:25:00Z</dcterms:created>
  <dcterms:modified xsi:type="dcterms:W3CDTF">2023-07-19T23:11:00Z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0x010100FBAA3A875721F14CA7335BC7252BBF28</vt:lpwstr>
  </property>
</Properties>
</file>